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87EF0" w14:textId="26AB78FE" w:rsidR="000E5128" w:rsidRPr="000E5128" w:rsidRDefault="008518B9" w:rsidP="008518B9">
      <w:pPr>
        <w:jc w:val="center"/>
        <w:rPr>
          <w:rFonts w:ascii="Gill Sans MT" w:hAnsi="Gill Sans MT"/>
          <w:sz w:val="24"/>
          <w:szCs w:val="24"/>
        </w:rPr>
      </w:pPr>
      <w:r w:rsidRPr="005877F2">
        <w:rPr>
          <w:rFonts w:ascii="Segoe UI" w:hAnsi="Segoe UI" w:cs="Segoe UI"/>
          <w:b/>
          <w:noProof/>
          <w:sz w:val="32"/>
          <w:szCs w:val="24"/>
        </w:rPr>
        <w:drawing>
          <wp:inline distT="0" distB="0" distL="0" distR="0" wp14:anchorId="1B4D7B85" wp14:editId="06886F97">
            <wp:extent cx="4516238" cy="1200150"/>
            <wp:effectExtent l="0" t="0" r="0" b="0"/>
            <wp:docPr id="1" name="Picture 1" descr="\\DESKTOP-5E4OANO\Users\Public\Staff\Isaac Owusu\gitfic log 2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5E4OANO\Users\Public\Staff\Isaac Owusu\gitfic log 202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99716" cy="1222334"/>
                    </a:xfrm>
                    <a:prstGeom prst="rect">
                      <a:avLst/>
                    </a:prstGeom>
                    <a:noFill/>
                    <a:ln>
                      <a:noFill/>
                    </a:ln>
                  </pic:spPr>
                </pic:pic>
              </a:graphicData>
            </a:graphic>
          </wp:inline>
        </w:drawing>
      </w:r>
    </w:p>
    <w:p w14:paraId="50DAB872" w14:textId="77777777" w:rsidR="000E5128" w:rsidRPr="000E5128" w:rsidRDefault="000E5128" w:rsidP="000E5128">
      <w:pPr>
        <w:jc w:val="center"/>
        <w:rPr>
          <w:rFonts w:ascii="Gill Sans MT" w:hAnsi="Gill Sans MT"/>
          <w:b/>
          <w:bCs/>
          <w:color w:val="0070C0"/>
          <w:sz w:val="32"/>
          <w:szCs w:val="32"/>
        </w:rPr>
      </w:pPr>
      <w:r w:rsidRPr="000E5128">
        <w:rPr>
          <w:rFonts w:ascii="Gill Sans MT" w:hAnsi="Gill Sans MT"/>
          <w:b/>
          <w:bCs/>
          <w:color w:val="0070C0"/>
          <w:sz w:val="32"/>
          <w:szCs w:val="32"/>
        </w:rPr>
        <w:t>Research Report: Analyzing the Drivers of the Ghanaian Cedi’s Recent Appreciation Against the US Dollar</w:t>
      </w:r>
    </w:p>
    <w:p w14:paraId="71E2BF9C" w14:textId="77777777" w:rsidR="000E5128" w:rsidRPr="000E5128" w:rsidRDefault="000E5128" w:rsidP="000E5128">
      <w:pPr>
        <w:rPr>
          <w:rFonts w:ascii="Gill Sans MT" w:hAnsi="Gill Sans MT"/>
          <w:b/>
          <w:bCs/>
          <w:sz w:val="24"/>
          <w:szCs w:val="24"/>
        </w:rPr>
      </w:pPr>
      <w:r w:rsidRPr="000E5128">
        <w:rPr>
          <w:rFonts w:ascii="Gill Sans MT" w:hAnsi="Gill Sans MT"/>
          <w:b/>
          <w:bCs/>
          <w:sz w:val="24"/>
          <w:szCs w:val="24"/>
        </w:rPr>
        <w:t>Abstract</w:t>
      </w:r>
    </w:p>
    <w:p w14:paraId="6D53891C" w14:textId="2939BBFC" w:rsidR="00095085" w:rsidRDefault="00095085" w:rsidP="00095085">
      <w:pPr>
        <w:rPr>
          <w:rFonts w:ascii="Gill Sans MT" w:hAnsi="Gill Sans MT"/>
          <w:sz w:val="24"/>
          <w:szCs w:val="24"/>
        </w:rPr>
      </w:pPr>
      <w:r w:rsidRPr="00095085">
        <w:rPr>
          <w:rFonts w:ascii="Gill Sans MT" w:hAnsi="Gill Sans MT"/>
          <w:sz w:val="24"/>
          <w:szCs w:val="24"/>
        </w:rPr>
        <w:t xml:space="preserve">The Ghanaian Cedi (GHS) has appreciated to GHS 13.47 per US Dollar (USD) as of May 6, 2025, achieving a 7.44% year-to-date gain after a 45.1% depreciation in 2022. This report </w:t>
      </w:r>
      <w:r w:rsidR="00535B6E">
        <w:rPr>
          <w:rFonts w:ascii="Gill Sans MT" w:hAnsi="Gill Sans MT"/>
          <w:sz w:val="24"/>
          <w:szCs w:val="24"/>
        </w:rPr>
        <w:t xml:space="preserve">by the GITFiC </w:t>
      </w:r>
      <w:r w:rsidRPr="00095085">
        <w:rPr>
          <w:rFonts w:ascii="Gill Sans MT" w:hAnsi="Gill Sans MT"/>
          <w:sz w:val="24"/>
          <w:szCs w:val="24"/>
        </w:rPr>
        <w:t xml:space="preserve">examines the drivers of this appreciation, including monetary interventions, the </w:t>
      </w:r>
      <w:proofErr w:type="spellStart"/>
      <w:r w:rsidRPr="00095085">
        <w:rPr>
          <w:rFonts w:ascii="Gill Sans MT" w:hAnsi="Gill Sans MT"/>
          <w:sz w:val="24"/>
          <w:szCs w:val="24"/>
        </w:rPr>
        <w:t>Goldbod</w:t>
      </w:r>
      <w:proofErr w:type="spellEnd"/>
      <w:r w:rsidRPr="00095085">
        <w:rPr>
          <w:rFonts w:ascii="Gill Sans MT" w:hAnsi="Gill Sans MT"/>
          <w:sz w:val="24"/>
          <w:szCs w:val="24"/>
        </w:rPr>
        <w:t xml:space="preserve"> initiative, IMF support, fiscal discipline, market sentiment, and the US dollar’s depreciation due to the US tariff war. Using quantitative and qualitative data, </w:t>
      </w:r>
      <w:r w:rsidR="00CE4A0D">
        <w:rPr>
          <w:rFonts w:ascii="Gill Sans MT" w:hAnsi="Gill Sans MT"/>
          <w:sz w:val="24"/>
          <w:szCs w:val="24"/>
        </w:rPr>
        <w:t>the GITFiC</w:t>
      </w:r>
      <w:r w:rsidRPr="00095085">
        <w:rPr>
          <w:rFonts w:ascii="Gill Sans MT" w:hAnsi="Gill Sans MT"/>
          <w:sz w:val="24"/>
          <w:szCs w:val="24"/>
        </w:rPr>
        <w:t xml:space="preserve"> finds that short-term gains are robust, but long-term stability requires addressing import dependence and commodity price volatility.</w:t>
      </w:r>
      <w:r w:rsidR="00CE4A0D">
        <w:rPr>
          <w:rFonts w:ascii="Gill Sans MT" w:hAnsi="Gill Sans MT"/>
          <w:sz w:val="24"/>
          <w:szCs w:val="24"/>
        </w:rPr>
        <w:t xml:space="preserve"> </w:t>
      </w:r>
      <w:r w:rsidRPr="00095085">
        <w:rPr>
          <w:rFonts w:ascii="Gill Sans MT" w:hAnsi="Gill Sans MT"/>
          <w:sz w:val="24"/>
          <w:szCs w:val="24"/>
        </w:rPr>
        <w:t xml:space="preserve"> A </w:t>
      </w:r>
      <w:r w:rsidR="00535B6E">
        <w:rPr>
          <w:rFonts w:ascii="Gill Sans MT" w:hAnsi="Gill Sans MT"/>
          <w:sz w:val="24"/>
          <w:szCs w:val="24"/>
        </w:rPr>
        <w:t>USD/GHS exchange rate chart</w:t>
      </w:r>
      <w:r w:rsidRPr="00095085">
        <w:rPr>
          <w:rFonts w:ascii="Gill Sans MT" w:hAnsi="Gill Sans MT"/>
          <w:sz w:val="24"/>
          <w:szCs w:val="24"/>
        </w:rPr>
        <w:t xml:space="preserve"> from January to May 2025 illustrates the appreciation trend. </w:t>
      </w:r>
      <w:r w:rsidR="00EF3B82">
        <w:rPr>
          <w:rFonts w:ascii="Gill Sans MT" w:hAnsi="Gill Sans MT"/>
          <w:sz w:val="24"/>
          <w:szCs w:val="24"/>
        </w:rPr>
        <w:t xml:space="preserve">Our </w:t>
      </w:r>
      <w:r w:rsidRPr="00095085">
        <w:rPr>
          <w:rFonts w:ascii="Gill Sans MT" w:hAnsi="Gill Sans MT"/>
          <w:sz w:val="24"/>
          <w:szCs w:val="24"/>
        </w:rPr>
        <w:t>Policy recommendations focus on export diversification, enhanced monetary strategies, and sustained fiscal reforms to ensure Cedi resilience.</w:t>
      </w:r>
    </w:p>
    <w:p w14:paraId="3FB72A1F" w14:textId="77777777" w:rsidR="008518B9" w:rsidRPr="00095085" w:rsidRDefault="008518B9" w:rsidP="00095085">
      <w:pPr>
        <w:rPr>
          <w:rFonts w:ascii="Gill Sans MT" w:hAnsi="Gill Sans MT"/>
          <w:sz w:val="24"/>
          <w:szCs w:val="24"/>
        </w:rPr>
      </w:pPr>
    </w:p>
    <w:p w14:paraId="2C6ECB10" w14:textId="77777777" w:rsidR="000E5128" w:rsidRPr="000E5128" w:rsidRDefault="000E5128" w:rsidP="000E5128">
      <w:pPr>
        <w:rPr>
          <w:rFonts w:ascii="Gill Sans MT" w:hAnsi="Gill Sans MT"/>
          <w:b/>
          <w:bCs/>
          <w:sz w:val="24"/>
          <w:szCs w:val="24"/>
        </w:rPr>
      </w:pPr>
      <w:r w:rsidRPr="000E5128">
        <w:rPr>
          <w:rFonts w:ascii="Gill Sans MT" w:hAnsi="Gill Sans MT"/>
          <w:b/>
          <w:bCs/>
          <w:sz w:val="24"/>
          <w:szCs w:val="24"/>
        </w:rPr>
        <w:t>1. Introduction</w:t>
      </w:r>
    </w:p>
    <w:p w14:paraId="3170F330" w14:textId="0D691134" w:rsidR="000E5128" w:rsidRDefault="000E5128" w:rsidP="000E5128">
      <w:pPr>
        <w:rPr>
          <w:rFonts w:ascii="Gill Sans MT" w:hAnsi="Gill Sans MT"/>
          <w:sz w:val="24"/>
          <w:szCs w:val="24"/>
        </w:rPr>
      </w:pPr>
      <w:r w:rsidRPr="000E5128">
        <w:rPr>
          <w:rFonts w:ascii="Gill Sans MT" w:hAnsi="Gill Sans MT"/>
          <w:sz w:val="24"/>
          <w:szCs w:val="24"/>
        </w:rPr>
        <w:t xml:space="preserve">The Ghanaian Cedi’s appreciation from GHS 16.5298/USD in November 2024 to GHS 13.47/USD in May 2025 marks a significant recovery from its 2022 status as the world’s worst-performing currency. </w:t>
      </w:r>
      <w:r w:rsidR="00CE4A0D">
        <w:rPr>
          <w:rFonts w:ascii="Gill Sans MT" w:hAnsi="Gill Sans MT"/>
          <w:sz w:val="24"/>
          <w:szCs w:val="24"/>
        </w:rPr>
        <w:t xml:space="preserve"> </w:t>
      </w:r>
      <w:r w:rsidRPr="000E5128">
        <w:rPr>
          <w:rFonts w:ascii="Gill Sans MT" w:hAnsi="Gill Sans MT"/>
          <w:sz w:val="24"/>
          <w:szCs w:val="24"/>
        </w:rPr>
        <w:t xml:space="preserve">With a 5.3% gain in April 2025, this trend strengthens Ghana’s economic outlook. Given Ghana’s reliance on gold and cocoa exports and its import-driven economy, </w:t>
      </w:r>
      <w:r w:rsidR="008518B9">
        <w:rPr>
          <w:rFonts w:ascii="Gill Sans MT" w:hAnsi="Gill Sans MT"/>
          <w:sz w:val="24"/>
          <w:szCs w:val="24"/>
        </w:rPr>
        <w:t>it is vital for policymakers to understand the drivers of this appreciation</w:t>
      </w:r>
      <w:r w:rsidRPr="000E5128">
        <w:rPr>
          <w:rFonts w:ascii="Gill Sans MT" w:hAnsi="Gill Sans MT"/>
          <w:sz w:val="24"/>
          <w:szCs w:val="24"/>
        </w:rPr>
        <w:t xml:space="preserve">. </w:t>
      </w:r>
      <w:r w:rsidR="00EF3B82">
        <w:rPr>
          <w:rFonts w:ascii="Gill Sans MT" w:hAnsi="Gill Sans MT"/>
          <w:sz w:val="24"/>
          <w:szCs w:val="24"/>
        </w:rPr>
        <w:t>Our</w:t>
      </w:r>
      <w:r w:rsidRPr="000E5128">
        <w:rPr>
          <w:rFonts w:ascii="Gill Sans MT" w:hAnsi="Gill Sans MT"/>
          <w:sz w:val="24"/>
          <w:szCs w:val="24"/>
        </w:rPr>
        <w:t xml:space="preserve"> report analyzes the key factors behind the Cedi’s strength, evaluates </w:t>
      </w:r>
      <w:r w:rsidR="008518B9">
        <w:rPr>
          <w:rFonts w:ascii="Gill Sans MT" w:hAnsi="Gill Sans MT"/>
          <w:sz w:val="24"/>
          <w:szCs w:val="24"/>
        </w:rPr>
        <w:t>its</w:t>
      </w:r>
      <w:r w:rsidRPr="000E5128">
        <w:rPr>
          <w:rFonts w:ascii="Gill Sans MT" w:hAnsi="Gill Sans MT"/>
          <w:sz w:val="24"/>
          <w:szCs w:val="24"/>
        </w:rPr>
        <w:t xml:space="preserve"> sustainability, presents a chart of exchange rate trends, and proposes policies to maintain currency stability.</w:t>
      </w:r>
    </w:p>
    <w:p w14:paraId="1EF5812E" w14:textId="77777777" w:rsidR="008518B9" w:rsidRPr="000E5128" w:rsidRDefault="008518B9" w:rsidP="000E5128">
      <w:pPr>
        <w:rPr>
          <w:rFonts w:ascii="Gill Sans MT" w:hAnsi="Gill Sans MT"/>
          <w:sz w:val="24"/>
          <w:szCs w:val="24"/>
        </w:rPr>
      </w:pPr>
    </w:p>
    <w:p w14:paraId="552E5220" w14:textId="77777777" w:rsidR="000E5128" w:rsidRPr="000E5128" w:rsidRDefault="000E5128" w:rsidP="000E5128">
      <w:pPr>
        <w:rPr>
          <w:rFonts w:ascii="Gill Sans MT" w:hAnsi="Gill Sans MT"/>
          <w:b/>
          <w:bCs/>
          <w:sz w:val="24"/>
          <w:szCs w:val="24"/>
        </w:rPr>
      </w:pPr>
      <w:r w:rsidRPr="000E5128">
        <w:rPr>
          <w:rFonts w:ascii="Gill Sans MT" w:hAnsi="Gill Sans MT"/>
          <w:b/>
          <w:bCs/>
          <w:sz w:val="24"/>
          <w:szCs w:val="24"/>
        </w:rPr>
        <w:t>2. Data and Sources</w:t>
      </w:r>
    </w:p>
    <w:p w14:paraId="6D117FB9" w14:textId="2DB387D1" w:rsidR="000E5128" w:rsidRPr="000E5128" w:rsidRDefault="000E5128" w:rsidP="000E5128">
      <w:pPr>
        <w:rPr>
          <w:rFonts w:ascii="Gill Sans MT" w:hAnsi="Gill Sans MT"/>
          <w:sz w:val="24"/>
          <w:szCs w:val="24"/>
        </w:rPr>
      </w:pPr>
      <w:r w:rsidRPr="000E5128">
        <w:rPr>
          <w:rFonts w:ascii="Gill Sans MT" w:hAnsi="Gill Sans MT"/>
          <w:sz w:val="24"/>
          <w:szCs w:val="24"/>
        </w:rPr>
        <w:t xml:space="preserve">This study </w:t>
      </w:r>
      <w:r w:rsidR="008518B9">
        <w:rPr>
          <w:rFonts w:ascii="Gill Sans MT" w:hAnsi="Gill Sans MT"/>
          <w:sz w:val="24"/>
          <w:szCs w:val="24"/>
        </w:rPr>
        <w:t xml:space="preserve">by the GITFiC </w:t>
      </w:r>
      <w:r w:rsidRPr="000E5128">
        <w:rPr>
          <w:rFonts w:ascii="Gill Sans MT" w:hAnsi="Gill Sans MT"/>
          <w:sz w:val="24"/>
          <w:szCs w:val="24"/>
        </w:rPr>
        <w:t>draws on the following:</w:t>
      </w:r>
    </w:p>
    <w:p w14:paraId="535DBDD6" w14:textId="35E20B3C" w:rsidR="000E5128" w:rsidRPr="000E5128" w:rsidRDefault="000E5128" w:rsidP="000E5128">
      <w:pPr>
        <w:numPr>
          <w:ilvl w:val="0"/>
          <w:numId w:val="1"/>
        </w:numPr>
        <w:rPr>
          <w:rFonts w:ascii="Gill Sans MT" w:hAnsi="Gill Sans MT"/>
          <w:sz w:val="24"/>
          <w:szCs w:val="24"/>
        </w:rPr>
      </w:pPr>
      <w:r w:rsidRPr="000E5128">
        <w:rPr>
          <w:rFonts w:ascii="Gill Sans MT" w:hAnsi="Gill Sans MT"/>
          <w:b/>
          <w:bCs/>
          <w:sz w:val="24"/>
          <w:szCs w:val="24"/>
        </w:rPr>
        <w:t>Quantitative Data</w:t>
      </w:r>
      <w:r w:rsidRPr="000E5128">
        <w:rPr>
          <w:rFonts w:ascii="Gill Sans MT" w:hAnsi="Gill Sans MT"/>
          <w:sz w:val="24"/>
          <w:szCs w:val="24"/>
        </w:rPr>
        <w:t>: Exchange rates (GHS 13.47/USD, May 6, 2025) and historical trends from the Bank of Ghana (</w:t>
      </w:r>
      <w:proofErr w:type="spellStart"/>
      <w:r w:rsidRPr="000E5128">
        <w:rPr>
          <w:rFonts w:ascii="Gill Sans MT" w:hAnsi="Gill Sans MT"/>
          <w:sz w:val="24"/>
          <w:szCs w:val="24"/>
        </w:rPr>
        <w:t>BoG</w:t>
      </w:r>
      <w:proofErr w:type="spellEnd"/>
      <w:r w:rsidRPr="000E5128">
        <w:rPr>
          <w:rFonts w:ascii="Gill Sans MT" w:hAnsi="Gill Sans MT"/>
          <w:sz w:val="24"/>
          <w:szCs w:val="24"/>
        </w:rPr>
        <w:t>), Trading</w:t>
      </w:r>
      <w:r w:rsidR="008518B9">
        <w:rPr>
          <w:rFonts w:ascii="Gill Sans MT" w:hAnsi="Gill Sans MT"/>
          <w:sz w:val="24"/>
          <w:szCs w:val="24"/>
        </w:rPr>
        <w:t xml:space="preserve"> </w:t>
      </w:r>
      <w:r w:rsidRPr="000E5128">
        <w:rPr>
          <w:rFonts w:ascii="Gill Sans MT" w:hAnsi="Gill Sans MT"/>
          <w:sz w:val="24"/>
          <w:szCs w:val="24"/>
        </w:rPr>
        <w:t>Economics.com, and XE.com; foreign exchange reserves ($11.4 billion, March 2023</w:t>
      </w:r>
      <w:proofErr w:type="gramStart"/>
      <w:r w:rsidRPr="000E5128">
        <w:rPr>
          <w:rFonts w:ascii="Gill Sans MT" w:hAnsi="Gill Sans MT"/>
          <w:sz w:val="24"/>
          <w:szCs w:val="24"/>
        </w:rPr>
        <w:t xml:space="preserve">); </w:t>
      </w:r>
      <w:r w:rsidR="008518B9">
        <w:rPr>
          <w:rFonts w:ascii="Gill Sans MT" w:hAnsi="Gill Sans MT"/>
          <w:sz w:val="24"/>
          <w:szCs w:val="24"/>
        </w:rPr>
        <w:t xml:space="preserve"> </w:t>
      </w:r>
      <w:r w:rsidRPr="000E5128">
        <w:rPr>
          <w:rFonts w:ascii="Gill Sans MT" w:hAnsi="Gill Sans MT"/>
          <w:sz w:val="24"/>
          <w:szCs w:val="24"/>
        </w:rPr>
        <w:t>Treasury</w:t>
      </w:r>
      <w:proofErr w:type="gramEnd"/>
      <w:r w:rsidRPr="000E5128">
        <w:rPr>
          <w:rFonts w:ascii="Gill Sans MT" w:hAnsi="Gill Sans MT"/>
          <w:sz w:val="24"/>
          <w:szCs w:val="24"/>
        </w:rPr>
        <w:t xml:space="preserve"> Bill yields (91-day at 15.32%). USD/GHS exchange rate data for January–May 2025 is sourced from </w:t>
      </w:r>
      <w:proofErr w:type="spellStart"/>
      <w:r w:rsidRPr="000E5128">
        <w:rPr>
          <w:rFonts w:ascii="Gill Sans MT" w:hAnsi="Gill Sans MT"/>
          <w:sz w:val="24"/>
          <w:szCs w:val="24"/>
        </w:rPr>
        <w:t>BoG</w:t>
      </w:r>
      <w:proofErr w:type="spellEnd"/>
      <w:r w:rsidRPr="000E5128">
        <w:rPr>
          <w:rFonts w:ascii="Gill Sans MT" w:hAnsi="Gill Sans MT"/>
          <w:sz w:val="24"/>
          <w:szCs w:val="24"/>
        </w:rPr>
        <w:t>, Trading</w:t>
      </w:r>
      <w:r w:rsidR="008518B9">
        <w:rPr>
          <w:rFonts w:ascii="Gill Sans MT" w:hAnsi="Gill Sans MT"/>
          <w:sz w:val="24"/>
          <w:szCs w:val="24"/>
        </w:rPr>
        <w:t xml:space="preserve"> </w:t>
      </w:r>
      <w:r w:rsidRPr="000E5128">
        <w:rPr>
          <w:rFonts w:ascii="Gill Sans MT" w:hAnsi="Gill Sans MT"/>
          <w:sz w:val="24"/>
          <w:szCs w:val="24"/>
        </w:rPr>
        <w:t>Economics.com, and Wise, with approximations for missing daily rates based on reported trends (e.g., 6.39% appreciation in April 2025).</w:t>
      </w:r>
    </w:p>
    <w:p w14:paraId="4E48AEA8" w14:textId="77777777" w:rsidR="000E5128" w:rsidRPr="000E5128" w:rsidRDefault="000E5128" w:rsidP="000E5128">
      <w:pPr>
        <w:numPr>
          <w:ilvl w:val="0"/>
          <w:numId w:val="1"/>
        </w:numPr>
        <w:rPr>
          <w:rFonts w:ascii="Gill Sans MT" w:hAnsi="Gill Sans MT"/>
          <w:sz w:val="24"/>
          <w:szCs w:val="24"/>
        </w:rPr>
      </w:pPr>
      <w:r w:rsidRPr="000E5128">
        <w:rPr>
          <w:rFonts w:ascii="Gill Sans MT" w:hAnsi="Gill Sans MT"/>
          <w:b/>
          <w:bCs/>
          <w:sz w:val="24"/>
          <w:szCs w:val="24"/>
        </w:rPr>
        <w:lastRenderedPageBreak/>
        <w:t>Qualitative Data</w:t>
      </w:r>
      <w:r w:rsidRPr="000E5128">
        <w:rPr>
          <w:rFonts w:ascii="Gill Sans MT" w:hAnsi="Gill Sans MT"/>
          <w:sz w:val="24"/>
          <w:szCs w:val="24"/>
        </w:rPr>
        <w:t xml:space="preserve">: Policy announcements and economic reports from the </w:t>
      </w:r>
      <w:proofErr w:type="spellStart"/>
      <w:r w:rsidRPr="000E5128">
        <w:rPr>
          <w:rFonts w:ascii="Gill Sans MT" w:hAnsi="Gill Sans MT"/>
          <w:sz w:val="24"/>
          <w:szCs w:val="24"/>
        </w:rPr>
        <w:t>BoG</w:t>
      </w:r>
      <w:proofErr w:type="spellEnd"/>
      <w:r w:rsidRPr="000E5128">
        <w:rPr>
          <w:rFonts w:ascii="Gill Sans MT" w:hAnsi="Gill Sans MT"/>
          <w:sz w:val="24"/>
          <w:szCs w:val="24"/>
        </w:rPr>
        <w:t>, International Monetary Fund (IMF), and financial analyses (e.g., Woodhall Capital).</w:t>
      </w:r>
    </w:p>
    <w:p w14:paraId="4002AB50" w14:textId="12C5B137" w:rsidR="008518B9" w:rsidRDefault="000E5128" w:rsidP="000E5128">
      <w:pPr>
        <w:numPr>
          <w:ilvl w:val="0"/>
          <w:numId w:val="1"/>
        </w:numPr>
        <w:rPr>
          <w:rFonts w:ascii="Gill Sans MT" w:hAnsi="Gill Sans MT"/>
          <w:sz w:val="24"/>
          <w:szCs w:val="24"/>
        </w:rPr>
      </w:pPr>
      <w:r w:rsidRPr="000E5128">
        <w:rPr>
          <w:rFonts w:ascii="Gill Sans MT" w:hAnsi="Gill Sans MT"/>
          <w:b/>
          <w:bCs/>
          <w:sz w:val="24"/>
          <w:szCs w:val="24"/>
        </w:rPr>
        <w:t>Limitations</w:t>
      </w:r>
      <w:r w:rsidRPr="000E5128">
        <w:rPr>
          <w:rFonts w:ascii="Gill Sans MT" w:hAnsi="Gill Sans MT"/>
          <w:sz w:val="24"/>
          <w:szCs w:val="24"/>
        </w:rPr>
        <w:t>: Secondary data may lack granularity, and rapid policy changes could affect findings. Chart data includes approximations due to incomplete daily records.</w:t>
      </w:r>
    </w:p>
    <w:p w14:paraId="452C3CBC" w14:textId="77777777" w:rsidR="00EF3B82" w:rsidRDefault="00EF3B82" w:rsidP="00EF3B82">
      <w:pPr>
        <w:ind w:left="720"/>
        <w:rPr>
          <w:rFonts w:ascii="Gill Sans MT" w:hAnsi="Gill Sans MT"/>
          <w:sz w:val="24"/>
          <w:szCs w:val="24"/>
        </w:rPr>
      </w:pPr>
    </w:p>
    <w:p w14:paraId="2784432D" w14:textId="7FCFEE1E" w:rsidR="009030BF" w:rsidRPr="00EF3B82" w:rsidRDefault="000E5128" w:rsidP="000E5128">
      <w:pPr>
        <w:numPr>
          <w:ilvl w:val="0"/>
          <w:numId w:val="1"/>
        </w:numPr>
        <w:rPr>
          <w:rFonts w:ascii="Gill Sans MT" w:hAnsi="Gill Sans MT"/>
          <w:sz w:val="24"/>
          <w:szCs w:val="24"/>
        </w:rPr>
      </w:pPr>
      <w:r w:rsidRPr="008518B9">
        <w:rPr>
          <w:rFonts w:ascii="Gill Sans MT" w:hAnsi="Gill Sans MT"/>
          <w:b/>
          <w:bCs/>
          <w:sz w:val="24"/>
          <w:szCs w:val="24"/>
        </w:rPr>
        <w:t>3. Findings</w:t>
      </w:r>
    </w:p>
    <w:p w14:paraId="00389114" w14:textId="0839ABE6" w:rsidR="000E5128" w:rsidRPr="000E5128" w:rsidRDefault="000E5128" w:rsidP="000E5128">
      <w:pPr>
        <w:rPr>
          <w:rFonts w:ascii="Gill Sans MT" w:hAnsi="Gill Sans MT"/>
          <w:sz w:val="24"/>
          <w:szCs w:val="24"/>
        </w:rPr>
      </w:pPr>
      <w:r w:rsidRPr="000E5128">
        <w:rPr>
          <w:rFonts w:ascii="Gill Sans MT" w:hAnsi="Gill Sans MT"/>
          <w:sz w:val="24"/>
          <w:szCs w:val="24"/>
        </w:rPr>
        <w:t>Five primary drivers explain the Cedi’s appreciation to GHS 13.47/USD:</w:t>
      </w:r>
    </w:p>
    <w:p w14:paraId="152253C1" w14:textId="77777777" w:rsidR="000E5128" w:rsidRPr="000E5128" w:rsidRDefault="000E5128" w:rsidP="000E5128">
      <w:pPr>
        <w:rPr>
          <w:rFonts w:ascii="Gill Sans MT" w:hAnsi="Gill Sans MT"/>
          <w:b/>
          <w:bCs/>
          <w:sz w:val="24"/>
          <w:szCs w:val="24"/>
        </w:rPr>
      </w:pPr>
      <w:r w:rsidRPr="000E5128">
        <w:rPr>
          <w:rFonts w:ascii="Gill Sans MT" w:hAnsi="Gill Sans MT"/>
          <w:b/>
          <w:bCs/>
          <w:sz w:val="24"/>
          <w:szCs w:val="24"/>
        </w:rPr>
        <w:t>3.1 Bank of Ghana’s Foreign Exchange Interventions</w:t>
      </w:r>
    </w:p>
    <w:p w14:paraId="60F3E263" w14:textId="4172FC1F" w:rsidR="000E5128" w:rsidRPr="000E5128" w:rsidRDefault="000E5128" w:rsidP="000E5128">
      <w:pPr>
        <w:numPr>
          <w:ilvl w:val="0"/>
          <w:numId w:val="2"/>
        </w:numPr>
        <w:rPr>
          <w:rFonts w:ascii="Gill Sans MT" w:hAnsi="Gill Sans MT"/>
          <w:sz w:val="24"/>
          <w:szCs w:val="24"/>
        </w:rPr>
      </w:pPr>
      <w:r w:rsidRPr="000E5128">
        <w:rPr>
          <w:rFonts w:ascii="Gill Sans MT" w:hAnsi="Gill Sans MT"/>
          <w:b/>
          <w:bCs/>
          <w:sz w:val="24"/>
          <w:szCs w:val="24"/>
        </w:rPr>
        <w:t>Description</w:t>
      </w:r>
      <w:r w:rsidRPr="000E5128">
        <w:rPr>
          <w:rFonts w:ascii="Gill Sans MT" w:hAnsi="Gill Sans MT"/>
          <w:sz w:val="24"/>
          <w:szCs w:val="24"/>
        </w:rPr>
        <w:t xml:space="preserve">: The </w:t>
      </w:r>
      <w:proofErr w:type="spellStart"/>
      <w:r w:rsidRPr="000E5128">
        <w:rPr>
          <w:rFonts w:ascii="Gill Sans MT" w:hAnsi="Gill Sans MT"/>
          <w:sz w:val="24"/>
          <w:szCs w:val="24"/>
        </w:rPr>
        <w:t>BoG</w:t>
      </w:r>
      <w:proofErr w:type="spellEnd"/>
      <w:r w:rsidRPr="000E5128">
        <w:rPr>
          <w:rFonts w:ascii="Gill Sans MT" w:hAnsi="Gill Sans MT"/>
          <w:sz w:val="24"/>
          <w:szCs w:val="24"/>
        </w:rPr>
        <w:t xml:space="preserve"> injected $490 million into the forex market in April 2025, increasing dollar supply while enforcing tight liquidity measures.</w:t>
      </w:r>
    </w:p>
    <w:p w14:paraId="0740DEEB" w14:textId="2488F119" w:rsidR="000E5128" w:rsidRDefault="000E5128" w:rsidP="000E5128">
      <w:pPr>
        <w:numPr>
          <w:ilvl w:val="0"/>
          <w:numId w:val="2"/>
        </w:numPr>
        <w:rPr>
          <w:rFonts w:ascii="Gill Sans MT" w:hAnsi="Gill Sans MT"/>
          <w:sz w:val="24"/>
          <w:szCs w:val="24"/>
        </w:rPr>
      </w:pPr>
      <w:r w:rsidRPr="000E5128">
        <w:rPr>
          <w:rFonts w:ascii="Gill Sans MT" w:hAnsi="Gill Sans MT"/>
          <w:b/>
          <w:bCs/>
          <w:sz w:val="24"/>
          <w:szCs w:val="24"/>
        </w:rPr>
        <w:t>Impact</w:t>
      </w:r>
      <w:r w:rsidRPr="000E5128">
        <w:rPr>
          <w:rFonts w:ascii="Gill Sans MT" w:hAnsi="Gill Sans MT"/>
          <w:sz w:val="24"/>
          <w:szCs w:val="24"/>
        </w:rPr>
        <w:t>: The interbank rate fell from GHS 15.36 to 14.91 overnight, contributing to the 13.47 rate, signaling strong monetary control.</w:t>
      </w:r>
    </w:p>
    <w:p w14:paraId="34961417" w14:textId="77777777" w:rsidR="008518B9" w:rsidRPr="000E5128" w:rsidRDefault="008518B9" w:rsidP="008518B9">
      <w:pPr>
        <w:ind w:left="720"/>
        <w:rPr>
          <w:rFonts w:ascii="Gill Sans MT" w:hAnsi="Gill Sans MT"/>
          <w:sz w:val="24"/>
          <w:szCs w:val="24"/>
        </w:rPr>
      </w:pPr>
    </w:p>
    <w:p w14:paraId="5EB49916" w14:textId="77777777" w:rsidR="000E5128" w:rsidRPr="000E5128" w:rsidRDefault="000E5128" w:rsidP="000E5128">
      <w:pPr>
        <w:rPr>
          <w:rFonts w:ascii="Gill Sans MT" w:hAnsi="Gill Sans MT"/>
          <w:b/>
          <w:bCs/>
          <w:sz w:val="24"/>
          <w:szCs w:val="24"/>
        </w:rPr>
      </w:pPr>
      <w:r w:rsidRPr="000E5128">
        <w:rPr>
          <w:rFonts w:ascii="Gill Sans MT" w:hAnsi="Gill Sans MT"/>
          <w:b/>
          <w:bCs/>
          <w:sz w:val="24"/>
          <w:szCs w:val="24"/>
        </w:rPr>
        <w:t xml:space="preserve">3.2 </w:t>
      </w:r>
      <w:proofErr w:type="spellStart"/>
      <w:r w:rsidRPr="000E5128">
        <w:rPr>
          <w:rFonts w:ascii="Gill Sans MT" w:hAnsi="Gill Sans MT"/>
          <w:b/>
          <w:bCs/>
          <w:sz w:val="24"/>
          <w:szCs w:val="24"/>
        </w:rPr>
        <w:t>Goldbod</w:t>
      </w:r>
      <w:proofErr w:type="spellEnd"/>
      <w:r w:rsidRPr="000E5128">
        <w:rPr>
          <w:rFonts w:ascii="Gill Sans MT" w:hAnsi="Gill Sans MT"/>
          <w:b/>
          <w:bCs/>
          <w:sz w:val="24"/>
          <w:szCs w:val="24"/>
        </w:rPr>
        <w:t xml:space="preserve"> Initiative</w:t>
      </w:r>
    </w:p>
    <w:p w14:paraId="5161D847" w14:textId="77777777" w:rsidR="000E5128" w:rsidRPr="000E5128" w:rsidRDefault="000E5128" w:rsidP="000E5128">
      <w:pPr>
        <w:numPr>
          <w:ilvl w:val="0"/>
          <w:numId w:val="3"/>
        </w:numPr>
        <w:rPr>
          <w:rFonts w:ascii="Gill Sans MT" w:hAnsi="Gill Sans MT"/>
          <w:sz w:val="24"/>
          <w:szCs w:val="24"/>
        </w:rPr>
      </w:pPr>
      <w:r w:rsidRPr="000E5128">
        <w:rPr>
          <w:rFonts w:ascii="Gill Sans MT" w:hAnsi="Gill Sans MT"/>
          <w:b/>
          <w:bCs/>
          <w:sz w:val="24"/>
          <w:szCs w:val="24"/>
        </w:rPr>
        <w:t>Description</w:t>
      </w:r>
      <w:r w:rsidRPr="000E5128">
        <w:rPr>
          <w:rFonts w:ascii="Gill Sans MT" w:hAnsi="Gill Sans MT"/>
          <w:sz w:val="24"/>
          <w:szCs w:val="24"/>
        </w:rPr>
        <w:t xml:space="preserve">: The </w:t>
      </w:r>
      <w:proofErr w:type="spellStart"/>
      <w:r w:rsidRPr="000E5128">
        <w:rPr>
          <w:rFonts w:ascii="Gill Sans MT" w:hAnsi="Gill Sans MT"/>
          <w:sz w:val="24"/>
          <w:szCs w:val="24"/>
        </w:rPr>
        <w:t>Goldbod</w:t>
      </w:r>
      <w:proofErr w:type="spellEnd"/>
      <w:r w:rsidRPr="000E5128">
        <w:rPr>
          <w:rFonts w:ascii="Gill Sans MT" w:hAnsi="Gill Sans MT"/>
          <w:sz w:val="24"/>
          <w:szCs w:val="24"/>
        </w:rPr>
        <w:t xml:space="preserve"> program purchases 20% of Ghana’s monthly gold output (approx. 40kg) in Cedis, converting exports into USD to boost reserves.</w:t>
      </w:r>
    </w:p>
    <w:p w14:paraId="5B551D31" w14:textId="52154EA7" w:rsidR="008518B9" w:rsidRDefault="000E5128" w:rsidP="008518B9">
      <w:pPr>
        <w:numPr>
          <w:ilvl w:val="0"/>
          <w:numId w:val="3"/>
        </w:numPr>
        <w:rPr>
          <w:rFonts w:ascii="Gill Sans MT" w:hAnsi="Gill Sans MT"/>
          <w:sz w:val="24"/>
          <w:szCs w:val="24"/>
        </w:rPr>
      </w:pPr>
      <w:r w:rsidRPr="000E5128">
        <w:rPr>
          <w:rFonts w:ascii="Gill Sans MT" w:hAnsi="Gill Sans MT"/>
          <w:b/>
          <w:bCs/>
          <w:sz w:val="24"/>
          <w:szCs w:val="24"/>
        </w:rPr>
        <w:t>Impact</w:t>
      </w:r>
      <w:r w:rsidRPr="000E5128">
        <w:rPr>
          <w:rFonts w:ascii="Gill Sans MT" w:hAnsi="Gill Sans MT"/>
          <w:sz w:val="24"/>
          <w:szCs w:val="24"/>
        </w:rPr>
        <w:t>: Reserves covering over four months of imports enhance investor confidence, supporting the 13.47 rate.</w:t>
      </w:r>
    </w:p>
    <w:p w14:paraId="16774FE9" w14:textId="77777777" w:rsidR="008518B9" w:rsidRPr="008518B9" w:rsidRDefault="008518B9" w:rsidP="008518B9">
      <w:pPr>
        <w:ind w:left="720"/>
        <w:rPr>
          <w:rFonts w:ascii="Gill Sans MT" w:hAnsi="Gill Sans MT"/>
          <w:sz w:val="24"/>
          <w:szCs w:val="24"/>
        </w:rPr>
      </w:pPr>
    </w:p>
    <w:p w14:paraId="3A830E25" w14:textId="77777777" w:rsidR="000E5128" w:rsidRPr="000E5128" w:rsidRDefault="000E5128" w:rsidP="000E5128">
      <w:pPr>
        <w:rPr>
          <w:rFonts w:ascii="Gill Sans MT" w:hAnsi="Gill Sans MT"/>
          <w:b/>
          <w:bCs/>
          <w:sz w:val="24"/>
          <w:szCs w:val="24"/>
        </w:rPr>
      </w:pPr>
      <w:r w:rsidRPr="000E5128">
        <w:rPr>
          <w:rFonts w:ascii="Gill Sans MT" w:hAnsi="Gill Sans MT"/>
          <w:b/>
          <w:bCs/>
          <w:sz w:val="24"/>
          <w:szCs w:val="24"/>
        </w:rPr>
        <w:t>3.3 IMF Support and Economic Reforms</w:t>
      </w:r>
    </w:p>
    <w:p w14:paraId="50C26972" w14:textId="77777777" w:rsidR="000E5128" w:rsidRPr="000E5128" w:rsidRDefault="000E5128" w:rsidP="000E5128">
      <w:pPr>
        <w:numPr>
          <w:ilvl w:val="0"/>
          <w:numId w:val="4"/>
        </w:numPr>
        <w:rPr>
          <w:rFonts w:ascii="Gill Sans MT" w:hAnsi="Gill Sans MT"/>
          <w:sz w:val="24"/>
          <w:szCs w:val="24"/>
        </w:rPr>
      </w:pPr>
      <w:r w:rsidRPr="000E5128">
        <w:rPr>
          <w:rFonts w:ascii="Gill Sans MT" w:hAnsi="Gill Sans MT"/>
          <w:b/>
          <w:bCs/>
          <w:sz w:val="24"/>
          <w:szCs w:val="24"/>
        </w:rPr>
        <w:t>Description</w:t>
      </w:r>
      <w:r w:rsidRPr="000E5128">
        <w:rPr>
          <w:rFonts w:ascii="Gill Sans MT" w:hAnsi="Gill Sans MT"/>
          <w:sz w:val="24"/>
          <w:szCs w:val="24"/>
        </w:rPr>
        <w:t>: The IMF’s $3 billion Extended Credit Facility (2023) increased reserves to $11.4 billion and enforced fiscal reforms, reducing inflation.</w:t>
      </w:r>
    </w:p>
    <w:p w14:paraId="4D54299B" w14:textId="7A415F0E" w:rsidR="000E5128" w:rsidRDefault="000E5128" w:rsidP="000E5128">
      <w:pPr>
        <w:numPr>
          <w:ilvl w:val="0"/>
          <w:numId w:val="4"/>
        </w:numPr>
        <w:rPr>
          <w:rFonts w:ascii="Gill Sans MT" w:hAnsi="Gill Sans MT"/>
          <w:sz w:val="24"/>
          <w:szCs w:val="24"/>
        </w:rPr>
      </w:pPr>
      <w:r w:rsidRPr="000E5128">
        <w:rPr>
          <w:rFonts w:ascii="Gill Sans MT" w:hAnsi="Gill Sans MT"/>
          <w:b/>
          <w:bCs/>
          <w:sz w:val="24"/>
          <w:szCs w:val="24"/>
        </w:rPr>
        <w:t>Impact</w:t>
      </w:r>
      <w:r w:rsidRPr="000E5128">
        <w:rPr>
          <w:rFonts w:ascii="Gill Sans MT" w:hAnsi="Gill Sans MT"/>
          <w:sz w:val="24"/>
          <w:szCs w:val="24"/>
        </w:rPr>
        <w:t>: A 33% Cedi gain since November 2022 reflects improved fundamentals, sustaining the 13.47 rate.</w:t>
      </w:r>
    </w:p>
    <w:p w14:paraId="38E88BE1" w14:textId="77777777" w:rsidR="008518B9" w:rsidRPr="000E5128" w:rsidRDefault="008518B9" w:rsidP="008518B9">
      <w:pPr>
        <w:ind w:left="720"/>
        <w:rPr>
          <w:rFonts w:ascii="Gill Sans MT" w:hAnsi="Gill Sans MT"/>
          <w:sz w:val="24"/>
          <w:szCs w:val="24"/>
        </w:rPr>
      </w:pPr>
    </w:p>
    <w:p w14:paraId="30CD0E6E" w14:textId="77777777" w:rsidR="000E5128" w:rsidRPr="000E5128" w:rsidRDefault="000E5128" w:rsidP="000E5128">
      <w:pPr>
        <w:rPr>
          <w:rFonts w:ascii="Gill Sans MT" w:hAnsi="Gill Sans MT"/>
          <w:b/>
          <w:bCs/>
          <w:sz w:val="24"/>
          <w:szCs w:val="24"/>
        </w:rPr>
      </w:pPr>
      <w:r w:rsidRPr="000E5128">
        <w:rPr>
          <w:rFonts w:ascii="Gill Sans MT" w:hAnsi="Gill Sans MT"/>
          <w:b/>
          <w:bCs/>
          <w:sz w:val="24"/>
          <w:szCs w:val="24"/>
        </w:rPr>
        <w:t>3.4 Fiscal Discipline</w:t>
      </w:r>
    </w:p>
    <w:p w14:paraId="45AF53BF" w14:textId="77777777" w:rsidR="000E5128" w:rsidRPr="000E5128" w:rsidRDefault="000E5128" w:rsidP="000E5128">
      <w:pPr>
        <w:numPr>
          <w:ilvl w:val="0"/>
          <w:numId w:val="5"/>
        </w:numPr>
        <w:rPr>
          <w:rFonts w:ascii="Gill Sans MT" w:hAnsi="Gill Sans MT"/>
          <w:sz w:val="24"/>
          <w:szCs w:val="24"/>
        </w:rPr>
      </w:pPr>
      <w:r w:rsidRPr="000E5128">
        <w:rPr>
          <w:rFonts w:ascii="Gill Sans MT" w:hAnsi="Gill Sans MT"/>
          <w:b/>
          <w:bCs/>
          <w:sz w:val="24"/>
          <w:szCs w:val="24"/>
        </w:rPr>
        <w:t>Description</w:t>
      </w:r>
      <w:r w:rsidRPr="000E5128">
        <w:rPr>
          <w:rFonts w:ascii="Gill Sans MT" w:hAnsi="Gill Sans MT"/>
          <w:sz w:val="24"/>
          <w:szCs w:val="24"/>
        </w:rPr>
        <w:t>: Reduced government spending and high Treasury Bill demand (GHS 7.27 billion bids vs. GHS 6.15 billion target) under Finance Minister Dr. Cassiel Ato Forson signal fiscal prudence.</w:t>
      </w:r>
    </w:p>
    <w:p w14:paraId="722CB2A8" w14:textId="4C4B10E0" w:rsidR="000E5128" w:rsidRDefault="000E5128" w:rsidP="000E5128">
      <w:pPr>
        <w:numPr>
          <w:ilvl w:val="0"/>
          <w:numId w:val="5"/>
        </w:numPr>
        <w:rPr>
          <w:rFonts w:ascii="Gill Sans MT" w:hAnsi="Gill Sans MT"/>
          <w:sz w:val="24"/>
          <w:szCs w:val="24"/>
        </w:rPr>
      </w:pPr>
      <w:r w:rsidRPr="000E5128">
        <w:rPr>
          <w:rFonts w:ascii="Gill Sans MT" w:hAnsi="Gill Sans MT"/>
          <w:b/>
          <w:bCs/>
          <w:sz w:val="24"/>
          <w:szCs w:val="24"/>
        </w:rPr>
        <w:t>Impact</w:t>
      </w:r>
      <w:r w:rsidRPr="000E5128">
        <w:rPr>
          <w:rFonts w:ascii="Gill Sans MT" w:hAnsi="Gill Sans MT"/>
          <w:sz w:val="24"/>
          <w:szCs w:val="24"/>
        </w:rPr>
        <w:t>: Declining T-Bill yields (91-day at 15.32%) reduce debt pressure, indirectly supporting the Cedi.</w:t>
      </w:r>
    </w:p>
    <w:p w14:paraId="76D34EEB" w14:textId="360B3F7C" w:rsidR="008518B9" w:rsidRDefault="008518B9" w:rsidP="008518B9">
      <w:pPr>
        <w:ind w:left="720"/>
        <w:rPr>
          <w:rFonts w:ascii="Gill Sans MT" w:hAnsi="Gill Sans MT"/>
          <w:sz w:val="24"/>
          <w:szCs w:val="24"/>
        </w:rPr>
      </w:pPr>
    </w:p>
    <w:p w14:paraId="688F5BA0" w14:textId="77777777" w:rsidR="008518B9" w:rsidRPr="000E5128" w:rsidRDefault="008518B9" w:rsidP="008518B9">
      <w:pPr>
        <w:ind w:left="720"/>
        <w:rPr>
          <w:rFonts w:ascii="Gill Sans MT" w:hAnsi="Gill Sans MT"/>
          <w:sz w:val="24"/>
          <w:szCs w:val="24"/>
        </w:rPr>
      </w:pPr>
    </w:p>
    <w:p w14:paraId="37CEC2EE" w14:textId="77777777" w:rsidR="000E5128" w:rsidRPr="000E5128" w:rsidRDefault="000E5128" w:rsidP="000E5128">
      <w:pPr>
        <w:rPr>
          <w:rFonts w:ascii="Gill Sans MT" w:hAnsi="Gill Sans MT"/>
          <w:b/>
          <w:bCs/>
          <w:sz w:val="24"/>
          <w:szCs w:val="24"/>
        </w:rPr>
      </w:pPr>
      <w:r w:rsidRPr="000E5128">
        <w:rPr>
          <w:rFonts w:ascii="Gill Sans MT" w:hAnsi="Gill Sans MT"/>
          <w:b/>
          <w:bCs/>
          <w:sz w:val="24"/>
          <w:szCs w:val="24"/>
        </w:rPr>
        <w:lastRenderedPageBreak/>
        <w:t>3.5 Market Sentiment and External Factors</w:t>
      </w:r>
    </w:p>
    <w:p w14:paraId="1218ED85" w14:textId="77777777" w:rsidR="000E5128" w:rsidRPr="000E5128" w:rsidRDefault="000E5128" w:rsidP="000E5128">
      <w:pPr>
        <w:numPr>
          <w:ilvl w:val="0"/>
          <w:numId w:val="6"/>
        </w:numPr>
        <w:rPr>
          <w:rFonts w:ascii="Gill Sans MT" w:hAnsi="Gill Sans MT"/>
          <w:sz w:val="24"/>
          <w:szCs w:val="24"/>
        </w:rPr>
      </w:pPr>
      <w:r w:rsidRPr="000E5128">
        <w:rPr>
          <w:rFonts w:ascii="Gill Sans MT" w:hAnsi="Gill Sans MT"/>
          <w:b/>
          <w:bCs/>
          <w:sz w:val="24"/>
          <w:szCs w:val="24"/>
        </w:rPr>
        <w:t>Description</w:t>
      </w:r>
      <w:r w:rsidRPr="000E5128">
        <w:rPr>
          <w:rFonts w:ascii="Gill Sans MT" w:hAnsi="Gill Sans MT"/>
          <w:sz w:val="24"/>
          <w:szCs w:val="24"/>
        </w:rPr>
        <w:t>: High commodity prices (gold at $3,227/oz, cocoa near $10,000/ton) and political stability under President Mahama drive forex inflows.</w:t>
      </w:r>
    </w:p>
    <w:p w14:paraId="615CBE9D" w14:textId="5EBAF253" w:rsidR="000E5128" w:rsidRDefault="000E5128" w:rsidP="000E5128">
      <w:pPr>
        <w:numPr>
          <w:ilvl w:val="0"/>
          <w:numId w:val="6"/>
        </w:numPr>
        <w:rPr>
          <w:rFonts w:ascii="Gill Sans MT" w:hAnsi="Gill Sans MT"/>
          <w:sz w:val="24"/>
          <w:szCs w:val="24"/>
        </w:rPr>
      </w:pPr>
      <w:r w:rsidRPr="000E5128">
        <w:rPr>
          <w:rFonts w:ascii="Gill Sans MT" w:hAnsi="Gill Sans MT"/>
          <w:b/>
          <w:bCs/>
          <w:sz w:val="24"/>
          <w:szCs w:val="24"/>
        </w:rPr>
        <w:t>Impact</w:t>
      </w:r>
      <w:r w:rsidRPr="000E5128">
        <w:rPr>
          <w:rFonts w:ascii="Gill Sans MT" w:hAnsi="Gill Sans MT"/>
          <w:sz w:val="24"/>
          <w:szCs w:val="24"/>
        </w:rPr>
        <w:t>: Positive sentiment supports the 13.47 rate but introduces volatility (10-15 pip spreads).</w:t>
      </w:r>
    </w:p>
    <w:p w14:paraId="44EF34E4" w14:textId="77777777" w:rsidR="008518B9" w:rsidRDefault="008518B9" w:rsidP="008518B9">
      <w:pPr>
        <w:ind w:left="720"/>
        <w:rPr>
          <w:rFonts w:ascii="Gill Sans MT" w:hAnsi="Gill Sans MT"/>
          <w:sz w:val="24"/>
          <w:szCs w:val="24"/>
        </w:rPr>
      </w:pPr>
    </w:p>
    <w:p w14:paraId="78E30D4A" w14:textId="77777777" w:rsidR="00095085" w:rsidRPr="00095085" w:rsidRDefault="00095085" w:rsidP="00095085">
      <w:pPr>
        <w:rPr>
          <w:rFonts w:ascii="Gill Sans MT" w:hAnsi="Gill Sans MT"/>
          <w:b/>
          <w:bCs/>
          <w:sz w:val="24"/>
          <w:szCs w:val="24"/>
        </w:rPr>
      </w:pPr>
      <w:r w:rsidRPr="00095085">
        <w:rPr>
          <w:rFonts w:ascii="Gill Sans MT" w:hAnsi="Gill Sans MT"/>
          <w:b/>
          <w:bCs/>
          <w:sz w:val="24"/>
          <w:szCs w:val="24"/>
        </w:rPr>
        <w:t>3.6 US Dollar Depreciation Due to US Tariff War</w:t>
      </w:r>
    </w:p>
    <w:p w14:paraId="445255D4" w14:textId="6FDB61A5" w:rsidR="00095085" w:rsidRPr="00095085" w:rsidRDefault="00095085" w:rsidP="00095085">
      <w:pPr>
        <w:rPr>
          <w:rFonts w:ascii="Gill Sans MT" w:hAnsi="Gill Sans MT"/>
          <w:sz w:val="24"/>
          <w:szCs w:val="24"/>
        </w:rPr>
      </w:pPr>
      <w:r w:rsidRPr="00095085">
        <w:rPr>
          <w:rFonts w:ascii="Gill Sans MT" w:hAnsi="Gill Sans MT"/>
          <w:b/>
          <w:bCs/>
          <w:sz w:val="24"/>
          <w:szCs w:val="24"/>
        </w:rPr>
        <w:t>Description:</w:t>
      </w:r>
      <w:r w:rsidRPr="00095085">
        <w:rPr>
          <w:rFonts w:ascii="Gill Sans MT" w:hAnsi="Gill Sans MT"/>
          <w:sz w:val="24"/>
          <w:szCs w:val="24"/>
        </w:rPr>
        <w:t xml:space="preserve"> The US imposed tariffs on April 2, 2025, including a 10% baseline on imports from 180 countries and higher Duties on major trading partners like China (54%), leading to a trade war. Contrary to standard theory predicting dollar appreciation from reduced import demand, the dollar depreciated, with the DXY index falling nearly 10% since January 2025 and 1% on April 3, 2025, against major currencies like the euro and yen.</w:t>
      </w:r>
    </w:p>
    <w:p w14:paraId="57301D4F" w14:textId="23877CA4" w:rsidR="00095085" w:rsidRDefault="00095085" w:rsidP="00095085">
      <w:pPr>
        <w:rPr>
          <w:rFonts w:ascii="Gill Sans MT" w:hAnsi="Gill Sans MT"/>
          <w:sz w:val="24"/>
          <w:szCs w:val="24"/>
        </w:rPr>
      </w:pPr>
      <w:r w:rsidRPr="00095085">
        <w:rPr>
          <w:rFonts w:ascii="Gill Sans MT" w:hAnsi="Gill Sans MT"/>
          <w:b/>
          <w:bCs/>
          <w:sz w:val="24"/>
          <w:szCs w:val="24"/>
        </w:rPr>
        <w:t>Impact:</w:t>
      </w:r>
      <w:r w:rsidRPr="00095085">
        <w:rPr>
          <w:rFonts w:ascii="Gill Sans MT" w:hAnsi="Gill Sans MT"/>
          <w:sz w:val="24"/>
          <w:szCs w:val="24"/>
        </w:rPr>
        <w:t xml:space="preserve"> The dollar’s decline, driven by foreign equity portfolio rebalancing away from US assets and global uncertainty (VIX index spike post-tariffs), has bolstered the Cedi’s relative strength. Retaliatory tariffs from China, the EU, and others neutralized potential dollar appreciation, while concerns over US economic stability reduced demand for dollar-denominated assets, contributing to the Cedi’s appreciation to 13.47 GHS/USD.</w:t>
      </w:r>
    </w:p>
    <w:p w14:paraId="1FC56F61" w14:textId="77777777" w:rsidR="008518B9" w:rsidRPr="000E5128" w:rsidRDefault="008518B9" w:rsidP="00095085">
      <w:pPr>
        <w:rPr>
          <w:rFonts w:ascii="Gill Sans MT" w:hAnsi="Gill Sans MT"/>
          <w:sz w:val="24"/>
          <w:szCs w:val="24"/>
        </w:rPr>
      </w:pPr>
    </w:p>
    <w:p w14:paraId="3E0968D3" w14:textId="77777777" w:rsidR="000E5128" w:rsidRPr="000E5128" w:rsidRDefault="000E5128" w:rsidP="000E5128">
      <w:pPr>
        <w:rPr>
          <w:rFonts w:ascii="Gill Sans MT" w:hAnsi="Gill Sans MT"/>
          <w:b/>
          <w:bCs/>
          <w:sz w:val="24"/>
          <w:szCs w:val="24"/>
        </w:rPr>
      </w:pPr>
      <w:r w:rsidRPr="000E5128">
        <w:rPr>
          <w:rFonts w:ascii="Gill Sans MT" w:hAnsi="Gill Sans MT"/>
          <w:b/>
          <w:bCs/>
          <w:sz w:val="24"/>
          <w:szCs w:val="24"/>
        </w:rPr>
        <w:t>4. Exchange Rate Trend: January to May 2025</w:t>
      </w:r>
    </w:p>
    <w:p w14:paraId="0A072DB0" w14:textId="3A597B2B" w:rsidR="000E5128" w:rsidRDefault="000E5128" w:rsidP="000E5128">
      <w:pPr>
        <w:rPr>
          <w:rFonts w:ascii="Gill Sans MT" w:hAnsi="Gill Sans MT"/>
          <w:sz w:val="24"/>
          <w:szCs w:val="24"/>
        </w:rPr>
      </w:pPr>
      <w:r w:rsidRPr="000E5128">
        <w:rPr>
          <w:rFonts w:ascii="Gill Sans MT" w:hAnsi="Gill Sans MT"/>
          <w:sz w:val="24"/>
          <w:szCs w:val="24"/>
        </w:rPr>
        <w:t>The USD/GHS exchange rate has steadily declined, reflecting Cedi appreciation. The table below summarizes key data points from January 1, 2025, to May 6, 2025, based on available sources and approximations for missing daily rates.</w:t>
      </w:r>
    </w:p>
    <w:p w14:paraId="15D6EB54" w14:textId="77777777" w:rsidR="00D85C32" w:rsidRPr="000E5128" w:rsidRDefault="00D85C32" w:rsidP="000E5128">
      <w:pPr>
        <w:rPr>
          <w:rFonts w:ascii="Gill Sans MT" w:hAnsi="Gill Sans MT"/>
          <w:sz w:val="24"/>
          <w:szCs w:val="24"/>
        </w:rPr>
      </w:pPr>
    </w:p>
    <w:tbl>
      <w:tblPr>
        <w:tblStyle w:val="TableGridLight"/>
        <w:tblW w:w="8276" w:type="dxa"/>
        <w:jc w:val="center"/>
        <w:tblLook w:val="04A0" w:firstRow="1" w:lastRow="0" w:firstColumn="1" w:lastColumn="0" w:noHBand="0" w:noVBand="1"/>
      </w:tblPr>
      <w:tblGrid>
        <w:gridCol w:w="1533"/>
        <w:gridCol w:w="1990"/>
        <w:gridCol w:w="4753"/>
      </w:tblGrid>
      <w:tr w:rsidR="000E5128" w:rsidRPr="000E5128" w14:paraId="5A3F7DF2" w14:textId="77777777" w:rsidTr="00D85C32">
        <w:trPr>
          <w:trHeight w:val="351"/>
          <w:jc w:val="center"/>
        </w:trPr>
        <w:tc>
          <w:tcPr>
            <w:tcW w:w="0" w:type="auto"/>
            <w:hideMark/>
          </w:tcPr>
          <w:p w14:paraId="507073E8" w14:textId="77777777" w:rsidR="000E5128" w:rsidRPr="000E5128" w:rsidRDefault="000E5128" w:rsidP="000E5128">
            <w:pPr>
              <w:spacing w:after="160" w:line="259" w:lineRule="auto"/>
              <w:rPr>
                <w:rFonts w:ascii="Gill Sans MT" w:hAnsi="Gill Sans MT"/>
                <w:b/>
                <w:bCs/>
                <w:sz w:val="24"/>
                <w:szCs w:val="24"/>
              </w:rPr>
            </w:pPr>
            <w:r w:rsidRPr="000E5128">
              <w:rPr>
                <w:rFonts w:ascii="Gill Sans MT" w:hAnsi="Gill Sans MT"/>
                <w:b/>
                <w:bCs/>
                <w:sz w:val="24"/>
                <w:szCs w:val="24"/>
              </w:rPr>
              <w:t>Date</w:t>
            </w:r>
          </w:p>
        </w:tc>
        <w:tc>
          <w:tcPr>
            <w:tcW w:w="0" w:type="auto"/>
            <w:hideMark/>
          </w:tcPr>
          <w:p w14:paraId="051B6340" w14:textId="77777777" w:rsidR="000E5128" w:rsidRPr="000E5128" w:rsidRDefault="000E5128" w:rsidP="000E5128">
            <w:pPr>
              <w:spacing w:after="160" w:line="259" w:lineRule="auto"/>
              <w:rPr>
                <w:rFonts w:ascii="Gill Sans MT" w:hAnsi="Gill Sans MT"/>
                <w:b/>
                <w:bCs/>
                <w:sz w:val="24"/>
                <w:szCs w:val="24"/>
              </w:rPr>
            </w:pPr>
            <w:r w:rsidRPr="000E5128">
              <w:rPr>
                <w:rFonts w:ascii="Gill Sans MT" w:hAnsi="Gill Sans MT"/>
                <w:b/>
                <w:bCs/>
                <w:sz w:val="24"/>
                <w:szCs w:val="24"/>
              </w:rPr>
              <w:t>USD/GHS Rate</w:t>
            </w:r>
          </w:p>
        </w:tc>
        <w:tc>
          <w:tcPr>
            <w:tcW w:w="0" w:type="auto"/>
            <w:hideMark/>
          </w:tcPr>
          <w:p w14:paraId="06BB4B2C" w14:textId="77777777" w:rsidR="000E5128" w:rsidRPr="000E5128" w:rsidRDefault="000E5128" w:rsidP="00D85C32">
            <w:pPr>
              <w:spacing w:after="160" w:line="259" w:lineRule="auto"/>
              <w:jc w:val="center"/>
              <w:rPr>
                <w:rFonts w:ascii="Gill Sans MT" w:hAnsi="Gill Sans MT"/>
                <w:b/>
                <w:bCs/>
                <w:sz w:val="24"/>
                <w:szCs w:val="24"/>
              </w:rPr>
            </w:pPr>
            <w:r w:rsidRPr="000E5128">
              <w:rPr>
                <w:rFonts w:ascii="Gill Sans MT" w:hAnsi="Gill Sans MT"/>
                <w:b/>
                <w:bCs/>
                <w:sz w:val="24"/>
                <w:szCs w:val="24"/>
              </w:rPr>
              <w:t>Notes</w:t>
            </w:r>
          </w:p>
        </w:tc>
      </w:tr>
      <w:tr w:rsidR="000E5128" w:rsidRPr="000E5128" w14:paraId="25BD546A" w14:textId="77777777" w:rsidTr="00D85C32">
        <w:trPr>
          <w:trHeight w:val="363"/>
          <w:jc w:val="center"/>
        </w:trPr>
        <w:tc>
          <w:tcPr>
            <w:tcW w:w="0" w:type="auto"/>
            <w:hideMark/>
          </w:tcPr>
          <w:p w14:paraId="50CF9823" w14:textId="77777777" w:rsidR="000E5128" w:rsidRPr="000E5128" w:rsidRDefault="000E5128" w:rsidP="000E5128">
            <w:pPr>
              <w:spacing w:after="160" w:line="259" w:lineRule="auto"/>
              <w:rPr>
                <w:rFonts w:ascii="Gill Sans MT" w:hAnsi="Gill Sans MT"/>
                <w:sz w:val="24"/>
                <w:szCs w:val="24"/>
              </w:rPr>
            </w:pPr>
            <w:r w:rsidRPr="000E5128">
              <w:rPr>
                <w:rFonts w:ascii="Gill Sans MT" w:hAnsi="Gill Sans MT"/>
                <w:sz w:val="24"/>
                <w:szCs w:val="24"/>
              </w:rPr>
              <w:t>Jan 1, 2025</w:t>
            </w:r>
          </w:p>
        </w:tc>
        <w:tc>
          <w:tcPr>
            <w:tcW w:w="0" w:type="auto"/>
            <w:hideMark/>
          </w:tcPr>
          <w:p w14:paraId="470C4DC8" w14:textId="77777777" w:rsidR="000E5128" w:rsidRPr="000E5128" w:rsidRDefault="000E5128" w:rsidP="000E5128">
            <w:pPr>
              <w:spacing w:after="160" w:line="259" w:lineRule="auto"/>
              <w:rPr>
                <w:rFonts w:ascii="Gill Sans MT" w:hAnsi="Gill Sans MT"/>
                <w:sz w:val="24"/>
                <w:szCs w:val="24"/>
              </w:rPr>
            </w:pPr>
            <w:r w:rsidRPr="000E5128">
              <w:rPr>
                <w:rFonts w:ascii="Gill Sans MT" w:hAnsi="Gill Sans MT"/>
                <w:sz w:val="24"/>
                <w:szCs w:val="24"/>
              </w:rPr>
              <w:t>14.95</w:t>
            </w:r>
          </w:p>
        </w:tc>
        <w:tc>
          <w:tcPr>
            <w:tcW w:w="0" w:type="auto"/>
            <w:hideMark/>
          </w:tcPr>
          <w:p w14:paraId="3E10CE0B" w14:textId="77777777" w:rsidR="000E5128" w:rsidRPr="000E5128" w:rsidRDefault="000E5128" w:rsidP="000E5128">
            <w:pPr>
              <w:spacing w:after="160" w:line="259" w:lineRule="auto"/>
              <w:rPr>
                <w:rFonts w:ascii="Gill Sans MT" w:hAnsi="Gill Sans MT"/>
                <w:sz w:val="24"/>
                <w:szCs w:val="24"/>
              </w:rPr>
            </w:pPr>
            <w:r w:rsidRPr="000E5128">
              <w:rPr>
                <w:rFonts w:ascii="Gill Sans MT" w:hAnsi="Gill Sans MT"/>
                <w:sz w:val="24"/>
                <w:szCs w:val="24"/>
              </w:rPr>
              <w:t xml:space="preserve">Reported by </w:t>
            </w:r>
            <w:proofErr w:type="spellStart"/>
            <w:r w:rsidRPr="000E5128">
              <w:rPr>
                <w:rFonts w:ascii="Gill Sans MT" w:hAnsi="Gill Sans MT"/>
                <w:sz w:val="24"/>
                <w:szCs w:val="24"/>
              </w:rPr>
              <w:t>BoG</w:t>
            </w:r>
            <w:proofErr w:type="spellEnd"/>
            <w:r w:rsidRPr="000E5128">
              <w:rPr>
                <w:rFonts w:ascii="Gill Sans MT" w:hAnsi="Gill Sans MT"/>
                <w:sz w:val="24"/>
                <w:szCs w:val="24"/>
              </w:rPr>
              <w:t xml:space="preserve"> and CEIC Data</w:t>
            </w:r>
          </w:p>
        </w:tc>
      </w:tr>
      <w:tr w:rsidR="000E5128" w:rsidRPr="000E5128" w14:paraId="55464023" w14:textId="77777777" w:rsidTr="00D85C32">
        <w:trPr>
          <w:trHeight w:val="351"/>
          <w:jc w:val="center"/>
        </w:trPr>
        <w:tc>
          <w:tcPr>
            <w:tcW w:w="0" w:type="auto"/>
            <w:hideMark/>
          </w:tcPr>
          <w:p w14:paraId="6B5C26DE" w14:textId="77777777" w:rsidR="000E5128" w:rsidRPr="000E5128" w:rsidRDefault="000E5128" w:rsidP="000E5128">
            <w:pPr>
              <w:spacing w:after="160" w:line="259" w:lineRule="auto"/>
              <w:rPr>
                <w:rFonts w:ascii="Gill Sans MT" w:hAnsi="Gill Sans MT"/>
                <w:sz w:val="24"/>
                <w:szCs w:val="24"/>
              </w:rPr>
            </w:pPr>
            <w:r w:rsidRPr="000E5128">
              <w:rPr>
                <w:rFonts w:ascii="Gill Sans MT" w:hAnsi="Gill Sans MT"/>
                <w:sz w:val="24"/>
                <w:szCs w:val="24"/>
              </w:rPr>
              <w:t>Feb 1, 2025</w:t>
            </w:r>
          </w:p>
        </w:tc>
        <w:tc>
          <w:tcPr>
            <w:tcW w:w="0" w:type="auto"/>
            <w:hideMark/>
          </w:tcPr>
          <w:p w14:paraId="494C13F9" w14:textId="77777777" w:rsidR="000E5128" w:rsidRPr="000E5128" w:rsidRDefault="000E5128" w:rsidP="000E5128">
            <w:pPr>
              <w:spacing w:after="160" w:line="259" w:lineRule="auto"/>
              <w:rPr>
                <w:rFonts w:ascii="Gill Sans MT" w:hAnsi="Gill Sans MT"/>
                <w:sz w:val="24"/>
                <w:szCs w:val="24"/>
              </w:rPr>
            </w:pPr>
            <w:r w:rsidRPr="000E5128">
              <w:rPr>
                <w:rFonts w:ascii="Gill Sans MT" w:hAnsi="Gill Sans MT"/>
                <w:sz w:val="24"/>
                <w:szCs w:val="24"/>
              </w:rPr>
              <w:t>14.80</w:t>
            </w:r>
          </w:p>
        </w:tc>
        <w:tc>
          <w:tcPr>
            <w:tcW w:w="0" w:type="auto"/>
            <w:hideMark/>
          </w:tcPr>
          <w:p w14:paraId="06A72515" w14:textId="77777777" w:rsidR="000E5128" w:rsidRPr="000E5128" w:rsidRDefault="000E5128" w:rsidP="000E5128">
            <w:pPr>
              <w:spacing w:after="160" w:line="259" w:lineRule="auto"/>
              <w:rPr>
                <w:rFonts w:ascii="Gill Sans MT" w:hAnsi="Gill Sans MT"/>
                <w:sz w:val="24"/>
                <w:szCs w:val="24"/>
              </w:rPr>
            </w:pPr>
            <w:r w:rsidRPr="000E5128">
              <w:rPr>
                <w:rFonts w:ascii="Gill Sans MT" w:hAnsi="Gill Sans MT"/>
                <w:sz w:val="24"/>
                <w:szCs w:val="24"/>
              </w:rPr>
              <w:t>Approximated based on gradual decline</w:t>
            </w:r>
          </w:p>
        </w:tc>
      </w:tr>
      <w:tr w:rsidR="000E5128" w:rsidRPr="000E5128" w14:paraId="6DD7DEAA" w14:textId="77777777" w:rsidTr="00D85C32">
        <w:trPr>
          <w:trHeight w:val="351"/>
          <w:jc w:val="center"/>
        </w:trPr>
        <w:tc>
          <w:tcPr>
            <w:tcW w:w="0" w:type="auto"/>
            <w:hideMark/>
          </w:tcPr>
          <w:p w14:paraId="031770AF" w14:textId="77777777" w:rsidR="000E5128" w:rsidRPr="000E5128" w:rsidRDefault="000E5128" w:rsidP="000E5128">
            <w:pPr>
              <w:spacing w:after="160" w:line="259" w:lineRule="auto"/>
              <w:rPr>
                <w:rFonts w:ascii="Gill Sans MT" w:hAnsi="Gill Sans MT"/>
                <w:sz w:val="24"/>
                <w:szCs w:val="24"/>
              </w:rPr>
            </w:pPr>
            <w:r w:rsidRPr="000E5128">
              <w:rPr>
                <w:rFonts w:ascii="Gill Sans MT" w:hAnsi="Gill Sans MT"/>
                <w:sz w:val="24"/>
                <w:szCs w:val="24"/>
              </w:rPr>
              <w:t>Mar 1, 2025</w:t>
            </w:r>
          </w:p>
        </w:tc>
        <w:tc>
          <w:tcPr>
            <w:tcW w:w="0" w:type="auto"/>
            <w:hideMark/>
          </w:tcPr>
          <w:p w14:paraId="354AA79E" w14:textId="77777777" w:rsidR="000E5128" w:rsidRPr="000E5128" w:rsidRDefault="000E5128" w:rsidP="000E5128">
            <w:pPr>
              <w:spacing w:after="160" w:line="259" w:lineRule="auto"/>
              <w:rPr>
                <w:rFonts w:ascii="Gill Sans MT" w:hAnsi="Gill Sans MT"/>
                <w:sz w:val="24"/>
                <w:szCs w:val="24"/>
              </w:rPr>
            </w:pPr>
            <w:r w:rsidRPr="000E5128">
              <w:rPr>
                <w:rFonts w:ascii="Gill Sans MT" w:hAnsi="Gill Sans MT"/>
                <w:sz w:val="24"/>
                <w:szCs w:val="24"/>
              </w:rPr>
              <w:t>14.65</w:t>
            </w:r>
          </w:p>
        </w:tc>
        <w:tc>
          <w:tcPr>
            <w:tcW w:w="0" w:type="auto"/>
            <w:hideMark/>
          </w:tcPr>
          <w:p w14:paraId="0C0D1B2A" w14:textId="77777777" w:rsidR="000E5128" w:rsidRPr="000E5128" w:rsidRDefault="000E5128" w:rsidP="000E5128">
            <w:pPr>
              <w:spacing w:after="160" w:line="259" w:lineRule="auto"/>
              <w:rPr>
                <w:rFonts w:ascii="Gill Sans MT" w:hAnsi="Gill Sans MT"/>
                <w:sz w:val="24"/>
                <w:szCs w:val="24"/>
              </w:rPr>
            </w:pPr>
            <w:r w:rsidRPr="000E5128">
              <w:rPr>
                <w:rFonts w:ascii="Gill Sans MT" w:hAnsi="Gill Sans MT"/>
                <w:sz w:val="24"/>
                <w:szCs w:val="24"/>
              </w:rPr>
              <w:t>Approximated; aligns with IMF reform impact</w:t>
            </w:r>
          </w:p>
        </w:tc>
      </w:tr>
      <w:tr w:rsidR="000E5128" w:rsidRPr="000E5128" w14:paraId="30C80ABA" w14:textId="77777777" w:rsidTr="00D85C32">
        <w:trPr>
          <w:trHeight w:val="363"/>
          <w:jc w:val="center"/>
        </w:trPr>
        <w:tc>
          <w:tcPr>
            <w:tcW w:w="0" w:type="auto"/>
            <w:hideMark/>
          </w:tcPr>
          <w:p w14:paraId="0D8619BF" w14:textId="77777777" w:rsidR="000E5128" w:rsidRPr="000E5128" w:rsidRDefault="000E5128" w:rsidP="000E5128">
            <w:pPr>
              <w:spacing w:after="160" w:line="259" w:lineRule="auto"/>
              <w:rPr>
                <w:rFonts w:ascii="Gill Sans MT" w:hAnsi="Gill Sans MT"/>
                <w:sz w:val="24"/>
                <w:szCs w:val="24"/>
              </w:rPr>
            </w:pPr>
            <w:r w:rsidRPr="000E5128">
              <w:rPr>
                <w:rFonts w:ascii="Gill Sans MT" w:hAnsi="Gill Sans MT"/>
                <w:sz w:val="24"/>
                <w:szCs w:val="24"/>
              </w:rPr>
              <w:t>Apr 1, 2025</w:t>
            </w:r>
          </w:p>
        </w:tc>
        <w:tc>
          <w:tcPr>
            <w:tcW w:w="0" w:type="auto"/>
            <w:hideMark/>
          </w:tcPr>
          <w:p w14:paraId="6C965CC5" w14:textId="77777777" w:rsidR="000E5128" w:rsidRPr="000E5128" w:rsidRDefault="000E5128" w:rsidP="000E5128">
            <w:pPr>
              <w:spacing w:after="160" w:line="259" w:lineRule="auto"/>
              <w:rPr>
                <w:rFonts w:ascii="Gill Sans MT" w:hAnsi="Gill Sans MT"/>
                <w:sz w:val="24"/>
                <w:szCs w:val="24"/>
              </w:rPr>
            </w:pPr>
            <w:r w:rsidRPr="000E5128">
              <w:rPr>
                <w:rFonts w:ascii="Gill Sans MT" w:hAnsi="Gill Sans MT"/>
                <w:sz w:val="24"/>
                <w:szCs w:val="24"/>
              </w:rPr>
              <w:t>15.4951</w:t>
            </w:r>
          </w:p>
        </w:tc>
        <w:tc>
          <w:tcPr>
            <w:tcW w:w="0" w:type="auto"/>
            <w:hideMark/>
          </w:tcPr>
          <w:p w14:paraId="5F71EE18" w14:textId="77777777" w:rsidR="000E5128" w:rsidRPr="000E5128" w:rsidRDefault="000E5128" w:rsidP="000E5128">
            <w:pPr>
              <w:spacing w:after="160" w:line="259" w:lineRule="auto"/>
              <w:rPr>
                <w:rFonts w:ascii="Gill Sans MT" w:hAnsi="Gill Sans MT"/>
                <w:sz w:val="24"/>
                <w:szCs w:val="24"/>
              </w:rPr>
            </w:pPr>
            <w:r w:rsidRPr="000E5128">
              <w:rPr>
                <w:rFonts w:ascii="Gill Sans MT" w:hAnsi="Gill Sans MT"/>
                <w:sz w:val="24"/>
                <w:szCs w:val="24"/>
              </w:rPr>
              <w:t>Reported; pre-intervention high</w:t>
            </w:r>
          </w:p>
        </w:tc>
      </w:tr>
      <w:tr w:rsidR="000E5128" w:rsidRPr="000E5128" w14:paraId="71FA54B4" w14:textId="77777777" w:rsidTr="00D85C32">
        <w:trPr>
          <w:trHeight w:val="351"/>
          <w:jc w:val="center"/>
        </w:trPr>
        <w:tc>
          <w:tcPr>
            <w:tcW w:w="0" w:type="auto"/>
            <w:hideMark/>
          </w:tcPr>
          <w:p w14:paraId="05504CA7" w14:textId="77777777" w:rsidR="000E5128" w:rsidRPr="000E5128" w:rsidRDefault="000E5128" w:rsidP="000E5128">
            <w:pPr>
              <w:spacing w:after="160" w:line="259" w:lineRule="auto"/>
              <w:rPr>
                <w:rFonts w:ascii="Gill Sans MT" w:hAnsi="Gill Sans MT"/>
                <w:sz w:val="24"/>
                <w:szCs w:val="24"/>
              </w:rPr>
            </w:pPr>
            <w:r w:rsidRPr="000E5128">
              <w:rPr>
                <w:rFonts w:ascii="Gill Sans MT" w:hAnsi="Gill Sans MT"/>
                <w:sz w:val="24"/>
                <w:szCs w:val="24"/>
              </w:rPr>
              <w:t>Apr 27, 2025</w:t>
            </w:r>
          </w:p>
        </w:tc>
        <w:tc>
          <w:tcPr>
            <w:tcW w:w="0" w:type="auto"/>
            <w:hideMark/>
          </w:tcPr>
          <w:p w14:paraId="7499564A" w14:textId="77777777" w:rsidR="000E5128" w:rsidRPr="000E5128" w:rsidRDefault="000E5128" w:rsidP="000E5128">
            <w:pPr>
              <w:spacing w:after="160" w:line="259" w:lineRule="auto"/>
              <w:rPr>
                <w:rFonts w:ascii="Gill Sans MT" w:hAnsi="Gill Sans MT"/>
                <w:sz w:val="24"/>
                <w:szCs w:val="24"/>
              </w:rPr>
            </w:pPr>
            <w:r w:rsidRPr="000E5128">
              <w:rPr>
                <w:rFonts w:ascii="Gill Sans MT" w:hAnsi="Gill Sans MT"/>
                <w:sz w:val="24"/>
                <w:szCs w:val="24"/>
              </w:rPr>
              <w:t>14.458</w:t>
            </w:r>
          </w:p>
        </w:tc>
        <w:tc>
          <w:tcPr>
            <w:tcW w:w="0" w:type="auto"/>
            <w:hideMark/>
          </w:tcPr>
          <w:p w14:paraId="39905ADB" w14:textId="77777777" w:rsidR="000E5128" w:rsidRPr="000E5128" w:rsidRDefault="000E5128" w:rsidP="000E5128">
            <w:pPr>
              <w:spacing w:after="160" w:line="259" w:lineRule="auto"/>
              <w:rPr>
                <w:rFonts w:ascii="Gill Sans MT" w:hAnsi="Gill Sans MT"/>
                <w:sz w:val="24"/>
                <w:szCs w:val="24"/>
              </w:rPr>
            </w:pPr>
            <w:r w:rsidRPr="000E5128">
              <w:rPr>
                <w:rFonts w:ascii="Gill Sans MT" w:hAnsi="Gill Sans MT"/>
                <w:sz w:val="24"/>
                <w:szCs w:val="24"/>
              </w:rPr>
              <w:t>Weekly low; post-</w:t>
            </w:r>
            <w:proofErr w:type="spellStart"/>
            <w:r w:rsidRPr="000E5128">
              <w:rPr>
                <w:rFonts w:ascii="Gill Sans MT" w:hAnsi="Gill Sans MT"/>
                <w:sz w:val="24"/>
                <w:szCs w:val="24"/>
              </w:rPr>
              <w:t>BoG</w:t>
            </w:r>
            <w:proofErr w:type="spellEnd"/>
            <w:r w:rsidRPr="000E5128">
              <w:rPr>
                <w:rFonts w:ascii="Gill Sans MT" w:hAnsi="Gill Sans MT"/>
                <w:sz w:val="24"/>
                <w:szCs w:val="24"/>
              </w:rPr>
              <w:t xml:space="preserve"> $490M injection</w:t>
            </w:r>
          </w:p>
        </w:tc>
      </w:tr>
      <w:tr w:rsidR="000E5128" w:rsidRPr="000E5128" w14:paraId="34B9D5F3" w14:textId="77777777" w:rsidTr="00D85C32">
        <w:trPr>
          <w:trHeight w:val="351"/>
          <w:jc w:val="center"/>
        </w:trPr>
        <w:tc>
          <w:tcPr>
            <w:tcW w:w="0" w:type="auto"/>
            <w:hideMark/>
          </w:tcPr>
          <w:p w14:paraId="2B9072BB" w14:textId="77777777" w:rsidR="000E5128" w:rsidRPr="000E5128" w:rsidRDefault="000E5128" w:rsidP="000E5128">
            <w:pPr>
              <w:spacing w:after="160" w:line="259" w:lineRule="auto"/>
              <w:rPr>
                <w:rFonts w:ascii="Gill Sans MT" w:hAnsi="Gill Sans MT"/>
                <w:sz w:val="24"/>
                <w:szCs w:val="24"/>
              </w:rPr>
            </w:pPr>
            <w:r w:rsidRPr="000E5128">
              <w:rPr>
                <w:rFonts w:ascii="Gill Sans MT" w:hAnsi="Gill Sans MT"/>
                <w:sz w:val="24"/>
                <w:szCs w:val="24"/>
              </w:rPr>
              <w:t>May 2, 2025</w:t>
            </w:r>
          </w:p>
        </w:tc>
        <w:tc>
          <w:tcPr>
            <w:tcW w:w="0" w:type="auto"/>
            <w:hideMark/>
          </w:tcPr>
          <w:p w14:paraId="5F8E34CB" w14:textId="77777777" w:rsidR="000E5128" w:rsidRPr="000E5128" w:rsidRDefault="000E5128" w:rsidP="000E5128">
            <w:pPr>
              <w:spacing w:after="160" w:line="259" w:lineRule="auto"/>
              <w:rPr>
                <w:rFonts w:ascii="Gill Sans MT" w:hAnsi="Gill Sans MT"/>
                <w:sz w:val="24"/>
                <w:szCs w:val="24"/>
              </w:rPr>
            </w:pPr>
            <w:r w:rsidRPr="000E5128">
              <w:rPr>
                <w:rFonts w:ascii="Gill Sans MT" w:hAnsi="Gill Sans MT"/>
                <w:sz w:val="24"/>
                <w:szCs w:val="24"/>
              </w:rPr>
              <w:t>13.922</w:t>
            </w:r>
          </w:p>
        </w:tc>
        <w:tc>
          <w:tcPr>
            <w:tcW w:w="0" w:type="auto"/>
            <w:hideMark/>
          </w:tcPr>
          <w:p w14:paraId="6D8C26CF" w14:textId="77777777" w:rsidR="000E5128" w:rsidRPr="000E5128" w:rsidRDefault="000E5128" w:rsidP="000E5128">
            <w:pPr>
              <w:spacing w:after="160" w:line="259" w:lineRule="auto"/>
              <w:rPr>
                <w:rFonts w:ascii="Gill Sans MT" w:hAnsi="Gill Sans MT"/>
                <w:sz w:val="24"/>
                <w:szCs w:val="24"/>
              </w:rPr>
            </w:pPr>
            <w:r w:rsidRPr="000E5128">
              <w:rPr>
                <w:rFonts w:ascii="Gill Sans MT" w:hAnsi="Gill Sans MT"/>
                <w:sz w:val="24"/>
                <w:szCs w:val="24"/>
              </w:rPr>
              <w:t>Weekly high; Wise data</w:t>
            </w:r>
          </w:p>
        </w:tc>
      </w:tr>
      <w:tr w:rsidR="000E5128" w:rsidRPr="000E5128" w14:paraId="1D21418A" w14:textId="77777777" w:rsidTr="00D85C32">
        <w:trPr>
          <w:trHeight w:val="363"/>
          <w:jc w:val="center"/>
        </w:trPr>
        <w:tc>
          <w:tcPr>
            <w:tcW w:w="0" w:type="auto"/>
            <w:hideMark/>
          </w:tcPr>
          <w:p w14:paraId="5851A3C4" w14:textId="77777777" w:rsidR="000E5128" w:rsidRPr="000E5128" w:rsidRDefault="000E5128" w:rsidP="000E5128">
            <w:pPr>
              <w:spacing w:after="160" w:line="259" w:lineRule="auto"/>
              <w:rPr>
                <w:rFonts w:ascii="Gill Sans MT" w:hAnsi="Gill Sans MT"/>
                <w:sz w:val="24"/>
                <w:szCs w:val="24"/>
              </w:rPr>
            </w:pPr>
            <w:r w:rsidRPr="000E5128">
              <w:rPr>
                <w:rFonts w:ascii="Gill Sans MT" w:hAnsi="Gill Sans MT"/>
                <w:sz w:val="24"/>
                <w:szCs w:val="24"/>
              </w:rPr>
              <w:t>May 6, 2025</w:t>
            </w:r>
          </w:p>
        </w:tc>
        <w:tc>
          <w:tcPr>
            <w:tcW w:w="0" w:type="auto"/>
            <w:hideMark/>
          </w:tcPr>
          <w:p w14:paraId="4F0483E6" w14:textId="77777777" w:rsidR="000E5128" w:rsidRPr="000E5128" w:rsidRDefault="000E5128" w:rsidP="000E5128">
            <w:pPr>
              <w:spacing w:after="160" w:line="259" w:lineRule="auto"/>
              <w:rPr>
                <w:rFonts w:ascii="Gill Sans MT" w:hAnsi="Gill Sans MT"/>
                <w:sz w:val="24"/>
                <w:szCs w:val="24"/>
              </w:rPr>
            </w:pPr>
            <w:r w:rsidRPr="000E5128">
              <w:rPr>
                <w:rFonts w:ascii="Gill Sans MT" w:hAnsi="Gill Sans MT"/>
                <w:sz w:val="24"/>
                <w:szCs w:val="24"/>
              </w:rPr>
              <w:t>13.47</w:t>
            </w:r>
          </w:p>
        </w:tc>
        <w:tc>
          <w:tcPr>
            <w:tcW w:w="0" w:type="auto"/>
            <w:hideMark/>
          </w:tcPr>
          <w:p w14:paraId="7B44E565" w14:textId="442D7573" w:rsidR="000E5128" w:rsidRPr="000E5128" w:rsidRDefault="000E5128" w:rsidP="000E5128">
            <w:pPr>
              <w:spacing w:after="160" w:line="259" w:lineRule="auto"/>
              <w:rPr>
                <w:rFonts w:ascii="Gill Sans MT" w:hAnsi="Gill Sans MT"/>
                <w:sz w:val="24"/>
                <w:szCs w:val="24"/>
              </w:rPr>
            </w:pPr>
            <w:r w:rsidRPr="000E5128">
              <w:rPr>
                <w:rFonts w:ascii="Gill Sans MT" w:hAnsi="Gill Sans MT"/>
                <w:sz w:val="24"/>
                <w:szCs w:val="24"/>
              </w:rPr>
              <w:t>Current rate</w:t>
            </w:r>
          </w:p>
        </w:tc>
      </w:tr>
    </w:tbl>
    <w:p w14:paraId="544FFBEE" w14:textId="77777777" w:rsidR="000E5128" w:rsidRDefault="000E5128" w:rsidP="000E5128">
      <w:pPr>
        <w:rPr>
          <w:rFonts w:ascii="Gill Sans MT" w:hAnsi="Gill Sans MT"/>
          <w:b/>
          <w:bCs/>
          <w:sz w:val="24"/>
          <w:szCs w:val="24"/>
        </w:rPr>
      </w:pPr>
    </w:p>
    <w:p w14:paraId="3573C23E" w14:textId="56C681C0" w:rsidR="000E5128" w:rsidRDefault="000E5128" w:rsidP="000E5128">
      <w:pPr>
        <w:rPr>
          <w:rFonts w:ascii="Gill Sans MT" w:hAnsi="Gill Sans MT"/>
          <w:b/>
          <w:bCs/>
          <w:sz w:val="24"/>
          <w:szCs w:val="24"/>
        </w:rPr>
      </w:pPr>
      <w:r>
        <w:rPr>
          <w:noProof/>
        </w:rPr>
        <w:lastRenderedPageBreak/>
        <w:drawing>
          <wp:anchor distT="0" distB="0" distL="114300" distR="114300" simplePos="0" relativeHeight="251659264" behindDoc="0" locked="0" layoutInCell="1" allowOverlap="1" wp14:anchorId="186C86C8" wp14:editId="15EC285F">
            <wp:simplePos x="0" y="0"/>
            <wp:positionH relativeFrom="page">
              <wp:posOffset>914400</wp:posOffset>
            </wp:positionH>
            <wp:positionV relativeFrom="paragraph">
              <wp:posOffset>51435</wp:posOffset>
            </wp:positionV>
            <wp:extent cx="4457700" cy="2400300"/>
            <wp:effectExtent l="0" t="0" r="0" b="0"/>
            <wp:wrapTight wrapText="bothSides">
              <wp:wrapPolygon edited="0">
                <wp:start x="0" y="0"/>
                <wp:lineTo x="0" y="21429"/>
                <wp:lineTo x="21508" y="21429"/>
                <wp:lineTo x="21508" y="0"/>
                <wp:lineTo x="0" y="0"/>
              </wp:wrapPolygon>
            </wp:wrapTight>
            <wp:docPr id="486949268" name="Chart 1">
              <a:extLst xmlns:a="http://schemas.openxmlformats.org/drawingml/2006/main">
                <a:ext uri="{FF2B5EF4-FFF2-40B4-BE49-F238E27FC236}">
                  <a16:creationId xmlns:a16="http://schemas.microsoft.com/office/drawing/2014/main" id="{A4DA0E8F-09F7-45C8-A790-F17274EDDB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margin">
              <wp14:pctWidth>0</wp14:pctWidth>
            </wp14:sizeRelH>
            <wp14:sizeRelV relativeFrom="margin">
              <wp14:pctHeight>0</wp14:pctHeight>
            </wp14:sizeRelV>
          </wp:anchor>
        </w:drawing>
      </w:r>
    </w:p>
    <w:p w14:paraId="6CC7BD9A" w14:textId="77777777" w:rsidR="000E5128" w:rsidRDefault="000E5128" w:rsidP="000E5128">
      <w:pPr>
        <w:rPr>
          <w:rFonts w:ascii="Gill Sans MT" w:hAnsi="Gill Sans MT"/>
          <w:b/>
          <w:bCs/>
          <w:sz w:val="24"/>
          <w:szCs w:val="24"/>
        </w:rPr>
      </w:pPr>
    </w:p>
    <w:p w14:paraId="30889A56" w14:textId="77777777" w:rsidR="000E5128" w:rsidRDefault="000E5128" w:rsidP="000E5128">
      <w:pPr>
        <w:rPr>
          <w:rFonts w:ascii="Gill Sans MT" w:hAnsi="Gill Sans MT"/>
          <w:b/>
          <w:bCs/>
          <w:sz w:val="24"/>
          <w:szCs w:val="24"/>
        </w:rPr>
      </w:pPr>
    </w:p>
    <w:p w14:paraId="1BCD1F75" w14:textId="77777777" w:rsidR="000E5128" w:rsidRDefault="000E5128" w:rsidP="000E5128">
      <w:pPr>
        <w:rPr>
          <w:rFonts w:ascii="Gill Sans MT" w:hAnsi="Gill Sans MT"/>
          <w:b/>
          <w:bCs/>
          <w:sz w:val="24"/>
          <w:szCs w:val="24"/>
        </w:rPr>
      </w:pPr>
    </w:p>
    <w:p w14:paraId="57AC4BAC" w14:textId="77777777" w:rsidR="000E5128" w:rsidRDefault="000E5128" w:rsidP="000E5128">
      <w:pPr>
        <w:rPr>
          <w:rFonts w:ascii="Gill Sans MT" w:hAnsi="Gill Sans MT"/>
          <w:b/>
          <w:bCs/>
          <w:sz w:val="24"/>
          <w:szCs w:val="24"/>
        </w:rPr>
      </w:pPr>
    </w:p>
    <w:p w14:paraId="6EB24C06" w14:textId="77777777" w:rsidR="000E5128" w:rsidRDefault="000E5128" w:rsidP="000E5128">
      <w:pPr>
        <w:rPr>
          <w:rFonts w:ascii="Gill Sans MT" w:hAnsi="Gill Sans MT"/>
          <w:b/>
          <w:bCs/>
          <w:sz w:val="24"/>
          <w:szCs w:val="24"/>
        </w:rPr>
      </w:pPr>
    </w:p>
    <w:p w14:paraId="3B946752" w14:textId="77777777" w:rsidR="000E5128" w:rsidRDefault="000E5128" w:rsidP="000E5128">
      <w:pPr>
        <w:rPr>
          <w:rFonts w:ascii="Gill Sans MT" w:hAnsi="Gill Sans MT"/>
          <w:b/>
          <w:bCs/>
          <w:sz w:val="24"/>
          <w:szCs w:val="24"/>
        </w:rPr>
      </w:pPr>
    </w:p>
    <w:p w14:paraId="194DDD05" w14:textId="77777777" w:rsidR="008518B9" w:rsidRDefault="008518B9" w:rsidP="000E5128">
      <w:pPr>
        <w:jc w:val="right"/>
        <w:rPr>
          <w:rFonts w:ascii="Gill Sans MT" w:hAnsi="Gill Sans MT"/>
          <w:i/>
          <w:iCs/>
          <w:sz w:val="24"/>
          <w:szCs w:val="24"/>
        </w:rPr>
      </w:pPr>
    </w:p>
    <w:p w14:paraId="2F0170C2" w14:textId="77777777" w:rsidR="008518B9" w:rsidRDefault="008518B9" w:rsidP="000E5128">
      <w:pPr>
        <w:jc w:val="right"/>
        <w:rPr>
          <w:rFonts w:ascii="Gill Sans MT" w:hAnsi="Gill Sans MT"/>
          <w:i/>
          <w:iCs/>
          <w:sz w:val="24"/>
          <w:szCs w:val="24"/>
        </w:rPr>
      </w:pPr>
    </w:p>
    <w:p w14:paraId="4F337235" w14:textId="654F9B1D" w:rsidR="000E5128" w:rsidRDefault="000E5128" w:rsidP="000E5128">
      <w:pPr>
        <w:jc w:val="right"/>
        <w:rPr>
          <w:rFonts w:ascii="Gill Sans MT" w:hAnsi="Gill Sans MT"/>
          <w:i/>
          <w:iCs/>
          <w:sz w:val="24"/>
          <w:szCs w:val="24"/>
        </w:rPr>
      </w:pPr>
      <w:r w:rsidRPr="000E5128">
        <w:rPr>
          <w:rFonts w:ascii="Gill Sans MT" w:hAnsi="Gill Sans MT"/>
          <w:i/>
          <w:iCs/>
          <w:sz w:val="24"/>
          <w:szCs w:val="24"/>
        </w:rPr>
        <w:t xml:space="preserve">Source: Bank </w:t>
      </w:r>
      <w:proofErr w:type="gramStart"/>
      <w:r w:rsidRPr="000E5128">
        <w:rPr>
          <w:rFonts w:ascii="Gill Sans MT" w:hAnsi="Gill Sans MT"/>
          <w:i/>
          <w:iCs/>
          <w:sz w:val="24"/>
          <w:szCs w:val="24"/>
        </w:rPr>
        <w:t>Of</w:t>
      </w:r>
      <w:proofErr w:type="gramEnd"/>
      <w:r w:rsidRPr="000E5128">
        <w:rPr>
          <w:rFonts w:ascii="Gill Sans MT" w:hAnsi="Gill Sans MT"/>
          <w:i/>
          <w:iCs/>
          <w:sz w:val="24"/>
          <w:szCs w:val="24"/>
        </w:rPr>
        <w:t xml:space="preserve"> Ghana</w:t>
      </w:r>
    </w:p>
    <w:p w14:paraId="0127BC2A" w14:textId="77777777" w:rsidR="009030BF" w:rsidRDefault="009030BF" w:rsidP="000E5128">
      <w:pPr>
        <w:rPr>
          <w:rFonts w:ascii="Gill Sans MT" w:hAnsi="Gill Sans MT"/>
          <w:i/>
          <w:iCs/>
          <w:sz w:val="24"/>
          <w:szCs w:val="24"/>
        </w:rPr>
      </w:pPr>
    </w:p>
    <w:p w14:paraId="1FDC09B3" w14:textId="14170706" w:rsidR="000E5128" w:rsidRDefault="000E5128" w:rsidP="000E5128">
      <w:pPr>
        <w:rPr>
          <w:rFonts w:ascii="Gill Sans MT" w:hAnsi="Gill Sans MT"/>
          <w:sz w:val="24"/>
          <w:szCs w:val="24"/>
        </w:rPr>
      </w:pPr>
      <w:r w:rsidRPr="000E5128">
        <w:rPr>
          <w:rFonts w:ascii="Gill Sans MT" w:hAnsi="Gill Sans MT"/>
          <w:b/>
          <w:bCs/>
          <w:sz w:val="24"/>
          <w:szCs w:val="24"/>
        </w:rPr>
        <w:t>Chart Description</w:t>
      </w:r>
      <w:r w:rsidRPr="000E5128">
        <w:rPr>
          <w:rFonts w:ascii="Gill Sans MT" w:hAnsi="Gill Sans MT"/>
          <w:sz w:val="24"/>
          <w:szCs w:val="24"/>
        </w:rPr>
        <w:t xml:space="preserve">: A line chart plotting these rates would show a downward trend from 14.95 GHS/USD in January to 13.47 GHS/USD by May 6, with a notable dip in April following </w:t>
      </w:r>
      <w:proofErr w:type="spellStart"/>
      <w:r w:rsidRPr="000E5128">
        <w:rPr>
          <w:rFonts w:ascii="Gill Sans MT" w:hAnsi="Gill Sans MT"/>
          <w:sz w:val="24"/>
          <w:szCs w:val="24"/>
        </w:rPr>
        <w:t>BoG</w:t>
      </w:r>
      <w:proofErr w:type="spellEnd"/>
      <w:r w:rsidRPr="000E5128">
        <w:rPr>
          <w:rFonts w:ascii="Gill Sans MT" w:hAnsi="Gill Sans MT"/>
          <w:sz w:val="24"/>
          <w:szCs w:val="24"/>
        </w:rPr>
        <w:t xml:space="preserve"> interventions. The 6.39% appreciation in April aligns with the data, reflecting a 1.5731 GHS/USD decline from April 1 to May 6.</w:t>
      </w:r>
    </w:p>
    <w:p w14:paraId="5275325E" w14:textId="77777777" w:rsidR="00D85C32" w:rsidRPr="000E5128" w:rsidRDefault="00D85C32" w:rsidP="000E5128">
      <w:pPr>
        <w:rPr>
          <w:rFonts w:ascii="Gill Sans MT" w:hAnsi="Gill Sans MT"/>
          <w:sz w:val="24"/>
          <w:szCs w:val="24"/>
        </w:rPr>
      </w:pPr>
    </w:p>
    <w:p w14:paraId="576CE534" w14:textId="77777777" w:rsidR="000E5128" w:rsidRPr="000E5128" w:rsidRDefault="000E5128" w:rsidP="000E5128">
      <w:pPr>
        <w:rPr>
          <w:rFonts w:ascii="Gill Sans MT" w:hAnsi="Gill Sans MT"/>
          <w:b/>
          <w:bCs/>
          <w:sz w:val="24"/>
          <w:szCs w:val="24"/>
        </w:rPr>
      </w:pPr>
      <w:r w:rsidRPr="000E5128">
        <w:rPr>
          <w:rFonts w:ascii="Gill Sans MT" w:hAnsi="Gill Sans MT"/>
          <w:b/>
          <w:bCs/>
          <w:sz w:val="24"/>
          <w:szCs w:val="24"/>
        </w:rPr>
        <w:t>5. Discussion</w:t>
      </w:r>
    </w:p>
    <w:p w14:paraId="07A1D92E" w14:textId="77777777" w:rsidR="000E5128" w:rsidRPr="000E5128" w:rsidRDefault="000E5128" w:rsidP="000E5128">
      <w:pPr>
        <w:numPr>
          <w:ilvl w:val="0"/>
          <w:numId w:val="7"/>
        </w:numPr>
        <w:rPr>
          <w:rFonts w:ascii="Gill Sans MT" w:hAnsi="Gill Sans MT"/>
          <w:sz w:val="24"/>
          <w:szCs w:val="24"/>
        </w:rPr>
      </w:pPr>
      <w:r w:rsidRPr="000E5128">
        <w:rPr>
          <w:rFonts w:ascii="Gill Sans MT" w:hAnsi="Gill Sans MT"/>
          <w:b/>
          <w:bCs/>
          <w:sz w:val="24"/>
          <w:szCs w:val="24"/>
        </w:rPr>
        <w:t>Sustainability</w:t>
      </w:r>
      <w:r w:rsidRPr="000E5128">
        <w:rPr>
          <w:rFonts w:ascii="Gill Sans MT" w:hAnsi="Gill Sans MT"/>
          <w:sz w:val="24"/>
          <w:szCs w:val="24"/>
        </w:rPr>
        <w:t xml:space="preserve">: Forex injections and sentiment provide short-term gains, while </w:t>
      </w:r>
      <w:proofErr w:type="spellStart"/>
      <w:r w:rsidRPr="000E5128">
        <w:rPr>
          <w:rFonts w:ascii="Gill Sans MT" w:hAnsi="Gill Sans MT"/>
          <w:sz w:val="24"/>
          <w:szCs w:val="24"/>
        </w:rPr>
        <w:t>Goldbod</w:t>
      </w:r>
      <w:proofErr w:type="spellEnd"/>
      <w:r w:rsidRPr="000E5128">
        <w:rPr>
          <w:rFonts w:ascii="Gill Sans MT" w:hAnsi="Gill Sans MT"/>
          <w:sz w:val="24"/>
          <w:szCs w:val="24"/>
        </w:rPr>
        <w:t xml:space="preserve"> and IMF reforms offer structural stability. Ghana’s import dependence and commodity price volatility, evident in the 2022 depreciation (55% loss), pose risks.</w:t>
      </w:r>
    </w:p>
    <w:p w14:paraId="671572A8" w14:textId="77777777" w:rsidR="000E5128" w:rsidRPr="000E5128" w:rsidRDefault="000E5128" w:rsidP="000E5128">
      <w:pPr>
        <w:numPr>
          <w:ilvl w:val="0"/>
          <w:numId w:val="7"/>
        </w:numPr>
        <w:rPr>
          <w:rFonts w:ascii="Gill Sans MT" w:hAnsi="Gill Sans MT"/>
          <w:sz w:val="24"/>
          <w:szCs w:val="24"/>
        </w:rPr>
      </w:pPr>
      <w:r w:rsidRPr="000E5128">
        <w:rPr>
          <w:rFonts w:ascii="Gill Sans MT" w:hAnsi="Gill Sans MT"/>
          <w:b/>
          <w:bCs/>
          <w:sz w:val="24"/>
          <w:szCs w:val="24"/>
        </w:rPr>
        <w:t>Volatility</w:t>
      </w:r>
      <w:r w:rsidRPr="000E5128">
        <w:rPr>
          <w:rFonts w:ascii="Gill Sans MT" w:hAnsi="Gill Sans MT"/>
          <w:sz w:val="24"/>
          <w:szCs w:val="24"/>
        </w:rPr>
        <w:t>: The Cedi’s 3.853% weekly gain and fluctuations (e.g., GHS 13.922 on May 2, 2025) highlight the need for consistent policies.</w:t>
      </w:r>
    </w:p>
    <w:p w14:paraId="3CDC72AB" w14:textId="77777777" w:rsidR="000E5128" w:rsidRPr="000E5128" w:rsidRDefault="000E5128" w:rsidP="000E5128">
      <w:pPr>
        <w:numPr>
          <w:ilvl w:val="0"/>
          <w:numId w:val="7"/>
        </w:numPr>
        <w:rPr>
          <w:rFonts w:ascii="Gill Sans MT" w:hAnsi="Gill Sans MT"/>
          <w:sz w:val="24"/>
          <w:szCs w:val="24"/>
        </w:rPr>
      </w:pPr>
      <w:r w:rsidRPr="000E5128">
        <w:rPr>
          <w:rFonts w:ascii="Gill Sans MT" w:hAnsi="Gill Sans MT"/>
          <w:b/>
          <w:bCs/>
          <w:sz w:val="24"/>
          <w:szCs w:val="24"/>
        </w:rPr>
        <w:t>Critical Perspective</w:t>
      </w:r>
      <w:r w:rsidRPr="000E5128">
        <w:rPr>
          <w:rFonts w:ascii="Gill Sans MT" w:hAnsi="Gill Sans MT"/>
          <w:sz w:val="24"/>
          <w:szCs w:val="24"/>
        </w:rPr>
        <w:t xml:space="preserve">: Overreliance on gold and IMF funds exposes Ghana to external shocks. Some </w:t>
      </w:r>
      <w:proofErr w:type="spellStart"/>
      <w:r w:rsidRPr="000E5128">
        <w:rPr>
          <w:rFonts w:ascii="Gill Sans MT" w:hAnsi="Gill Sans MT"/>
          <w:sz w:val="24"/>
          <w:szCs w:val="24"/>
        </w:rPr>
        <w:t>analyses</w:t>
      </w:r>
      <w:proofErr w:type="spellEnd"/>
      <w:r w:rsidRPr="000E5128">
        <w:rPr>
          <w:rFonts w:ascii="Gill Sans MT" w:hAnsi="Gill Sans MT"/>
          <w:sz w:val="24"/>
          <w:szCs w:val="24"/>
        </w:rPr>
        <w:t xml:space="preserve"> attribute appreciation to global factors (e.g., US economic trends), suggesting debate over domestic policy impacts.</w:t>
      </w:r>
    </w:p>
    <w:p w14:paraId="7027E994" w14:textId="04AA2FFA" w:rsidR="000E5128" w:rsidRDefault="000E5128" w:rsidP="000E5128">
      <w:pPr>
        <w:numPr>
          <w:ilvl w:val="0"/>
          <w:numId w:val="7"/>
        </w:numPr>
        <w:rPr>
          <w:rFonts w:ascii="Gill Sans MT" w:hAnsi="Gill Sans MT"/>
          <w:sz w:val="24"/>
          <w:szCs w:val="24"/>
        </w:rPr>
      </w:pPr>
      <w:r w:rsidRPr="000E5128">
        <w:rPr>
          <w:rFonts w:ascii="Gill Sans MT" w:hAnsi="Gill Sans MT"/>
          <w:b/>
          <w:bCs/>
          <w:sz w:val="24"/>
          <w:szCs w:val="24"/>
        </w:rPr>
        <w:t>Comparative Context</w:t>
      </w:r>
      <w:r w:rsidRPr="000E5128">
        <w:rPr>
          <w:rFonts w:ascii="Gill Sans MT" w:hAnsi="Gill Sans MT"/>
          <w:sz w:val="24"/>
          <w:szCs w:val="24"/>
        </w:rPr>
        <w:t>: The Cedi’s 33% gain since 2022 outperforms peers like Nigeria’s Naira, but structural vulnerabilities persist.</w:t>
      </w:r>
    </w:p>
    <w:p w14:paraId="0FFF4385" w14:textId="77777777" w:rsidR="008518B9" w:rsidRPr="000E5128" w:rsidRDefault="008518B9" w:rsidP="008518B9">
      <w:pPr>
        <w:ind w:left="720"/>
        <w:rPr>
          <w:rFonts w:ascii="Gill Sans MT" w:hAnsi="Gill Sans MT"/>
          <w:sz w:val="24"/>
          <w:szCs w:val="24"/>
        </w:rPr>
      </w:pPr>
    </w:p>
    <w:p w14:paraId="4638BC57" w14:textId="00457BC7" w:rsidR="000E5128" w:rsidRPr="000E5128" w:rsidRDefault="000E5128" w:rsidP="000E5128">
      <w:pPr>
        <w:rPr>
          <w:rFonts w:ascii="Gill Sans MT" w:hAnsi="Gill Sans MT"/>
          <w:b/>
          <w:bCs/>
          <w:sz w:val="24"/>
          <w:szCs w:val="24"/>
        </w:rPr>
      </w:pPr>
      <w:r w:rsidRPr="000E5128">
        <w:rPr>
          <w:rFonts w:ascii="Gill Sans MT" w:hAnsi="Gill Sans MT"/>
          <w:b/>
          <w:bCs/>
          <w:sz w:val="24"/>
          <w:szCs w:val="24"/>
        </w:rPr>
        <w:t>6. Policy Recommendations</w:t>
      </w:r>
      <w:r w:rsidR="008518B9">
        <w:rPr>
          <w:rFonts w:ascii="Gill Sans MT" w:hAnsi="Gill Sans MT"/>
          <w:b/>
          <w:bCs/>
          <w:sz w:val="24"/>
          <w:szCs w:val="24"/>
        </w:rPr>
        <w:t xml:space="preserve"> by The GITFiC</w:t>
      </w:r>
    </w:p>
    <w:p w14:paraId="099E2CE7" w14:textId="18570736" w:rsidR="000E5128" w:rsidRPr="000E5128" w:rsidRDefault="000E5128" w:rsidP="000E5128">
      <w:pPr>
        <w:rPr>
          <w:rFonts w:ascii="Gill Sans MT" w:hAnsi="Gill Sans MT"/>
          <w:sz w:val="24"/>
          <w:szCs w:val="24"/>
        </w:rPr>
      </w:pPr>
      <w:r w:rsidRPr="000E5128">
        <w:rPr>
          <w:rFonts w:ascii="Gill Sans MT" w:hAnsi="Gill Sans MT"/>
          <w:sz w:val="24"/>
          <w:szCs w:val="24"/>
        </w:rPr>
        <w:t>To sustain the Cedi’s appreciation and mitigate risks</w:t>
      </w:r>
      <w:r w:rsidR="009030BF">
        <w:rPr>
          <w:rFonts w:ascii="Gill Sans MT" w:hAnsi="Gill Sans MT"/>
          <w:sz w:val="24"/>
          <w:szCs w:val="24"/>
        </w:rPr>
        <w:t xml:space="preserve"> we recommend the following</w:t>
      </w:r>
      <w:r w:rsidRPr="000E5128">
        <w:rPr>
          <w:rFonts w:ascii="Gill Sans MT" w:hAnsi="Gill Sans MT"/>
          <w:sz w:val="24"/>
          <w:szCs w:val="24"/>
        </w:rPr>
        <w:t>:</w:t>
      </w:r>
    </w:p>
    <w:p w14:paraId="142D3E7C" w14:textId="77777777" w:rsidR="000E5128" w:rsidRPr="000E5128" w:rsidRDefault="000E5128" w:rsidP="000E5128">
      <w:pPr>
        <w:numPr>
          <w:ilvl w:val="0"/>
          <w:numId w:val="8"/>
        </w:numPr>
        <w:rPr>
          <w:rFonts w:ascii="Gill Sans MT" w:hAnsi="Gill Sans MT"/>
          <w:sz w:val="24"/>
          <w:szCs w:val="24"/>
        </w:rPr>
      </w:pPr>
      <w:r w:rsidRPr="000E5128">
        <w:rPr>
          <w:rFonts w:ascii="Gill Sans MT" w:hAnsi="Gill Sans MT"/>
          <w:b/>
          <w:bCs/>
          <w:sz w:val="24"/>
          <w:szCs w:val="24"/>
        </w:rPr>
        <w:t>Diversify Exports</w:t>
      </w:r>
      <w:r w:rsidRPr="000E5128">
        <w:rPr>
          <w:rFonts w:ascii="Gill Sans MT" w:hAnsi="Gill Sans MT"/>
          <w:sz w:val="24"/>
          <w:szCs w:val="24"/>
        </w:rPr>
        <w:t>: Promote non-traditional exports (e.g., processed cocoa, technology) to reduce reliance on gold and cocoa.</w:t>
      </w:r>
    </w:p>
    <w:p w14:paraId="26C2E71A" w14:textId="77777777" w:rsidR="000E5128" w:rsidRPr="000E5128" w:rsidRDefault="000E5128" w:rsidP="000E5128">
      <w:pPr>
        <w:numPr>
          <w:ilvl w:val="0"/>
          <w:numId w:val="8"/>
        </w:numPr>
        <w:rPr>
          <w:rFonts w:ascii="Gill Sans MT" w:hAnsi="Gill Sans MT"/>
          <w:sz w:val="24"/>
          <w:szCs w:val="24"/>
        </w:rPr>
      </w:pPr>
      <w:r w:rsidRPr="000E5128">
        <w:rPr>
          <w:rFonts w:ascii="Gill Sans MT" w:hAnsi="Gill Sans MT"/>
          <w:b/>
          <w:bCs/>
          <w:sz w:val="24"/>
          <w:szCs w:val="24"/>
        </w:rPr>
        <w:lastRenderedPageBreak/>
        <w:t xml:space="preserve">Enhance </w:t>
      </w:r>
      <w:proofErr w:type="spellStart"/>
      <w:r w:rsidRPr="000E5128">
        <w:rPr>
          <w:rFonts w:ascii="Gill Sans MT" w:hAnsi="Gill Sans MT"/>
          <w:b/>
          <w:bCs/>
          <w:sz w:val="24"/>
          <w:szCs w:val="24"/>
        </w:rPr>
        <w:t>Goldbod</w:t>
      </w:r>
      <w:proofErr w:type="spellEnd"/>
      <w:r w:rsidRPr="000E5128">
        <w:rPr>
          <w:rFonts w:ascii="Gill Sans MT" w:hAnsi="Gill Sans MT"/>
          <w:sz w:val="24"/>
          <w:szCs w:val="24"/>
        </w:rPr>
        <w:t>: Accelerate implementation and explore initiatives for other minerals to bolster reserves.</w:t>
      </w:r>
    </w:p>
    <w:p w14:paraId="1E2891EF" w14:textId="77777777" w:rsidR="000E5128" w:rsidRPr="000E5128" w:rsidRDefault="000E5128" w:rsidP="000E5128">
      <w:pPr>
        <w:numPr>
          <w:ilvl w:val="0"/>
          <w:numId w:val="8"/>
        </w:numPr>
        <w:rPr>
          <w:rFonts w:ascii="Gill Sans MT" w:hAnsi="Gill Sans MT"/>
          <w:sz w:val="24"/>
          <w:szCs w:val="24"/>
        </w:rPr>
      </w:pPr>
      <w:r w:rsidRPr="000E5128">
        <w:rPr>
          <w:rFonts w:ascii="Gill Sans MT" w:hAnsi="Gill Sans MT"/>
          <w:b/>
          <w:bCs/>
          <w:sz w:val="24"/>
          <w:szCs w:val="24"/>
        </w:rPr>
        <w:t>Sustain Fiscal Discipline</w:t>
      </w:r>
      <w:r w:rsidRPr="000E5128">
        <w:rPr>
          <w:rFonts w:ascii="Gill Sans MT" w:hAnsi="Gill Sans MT"/>
          <w:sz w:val="24"/>
          <w:szCs w:val="24"/>
        </w:rPr>
        <w:t>: Maintain low borrowing and competitive T-Bill yields to minimize debt pressure.</w:t>
      </w:r>
    </w:p>
    <w:p w14:paraId="15734E3A" w14:textId="77777777" w:rsidR="000E5128" w:rsidRPr="000E5128" w:rsidRDefault="000E5128" w:rsidP="000E5128">
      <w:pPr>
        <w:numPr>
          <w:ilvl w:val="0"/>
          <w:numId w:val="8"/>
        </w:numPr>
        <w:rPr>
          <w:rFonts w:ascii="Gill Sans MT" w:hAnsi="Gill Sans MT"/>
          <w:sz w:val="24"/>
          <w:szCs w:val="24"/>
        </w:rPr>
      </w:pPr>
      <w:r w:rsidRPr="000E5128">
        <w:rPr>
          <w:rFonts w:ascii="Gill Sans MT" w:hAnsi="Gill Sans MT"/>
          <w:b/>
          <w:bCs/>
          <w:sz w:val="24"/>
          <w:szCs w:val="24"/>
        </w:rPr>
        <w:t>Refine Monetary Policy</w:t>
      </w:r>
      <w:r w:rsidRPr="000E5128">
        <w:rPr>
          <w:rFonts w:ascii="Gill Sans MT" w:hAnsi="Gill Sans MT"/>
          <w:sz w:val="24"/>
          <w:szCs w:val="24"/>
        </w:rPr>
        <w:t>: Balance forex interventions with structural reforms to reduce reserve depletion risks.</w:t>
      </w:r>
    </w:p>
    <w:p w14:paraId="038CB6BB" w14:textId="0BAD3FFB" w:rsidR="000E5128" w:rsidRDefault="000E5128" w:rsidP="000E5128">
      <w:pPr>
        <w:numPr>
          <w:ilvl w:val="0"/>
          <w:numId w:val="8"/>
        </w:numPr>
        <w:rPr>
          <w:rFonts w:ascii="Gill Sans MT" w:hAnsi="Gill Sans MT"/>
          <w:i/>
          <w:iCs/>
          <w:color w:val="4472C4" w:themeColor="accent1"/>
          <w:sz w:val="24"/>
          <w:szCs w:val="24"/>
        </w:rPr>
      </w:pPr>
      <w:r w:rsidRPr="000E5128">
        <w:rPr>
          <w:rFonts w:ascii="Gill Sans MT" w:hAnsi="Gill Sans MT"/>
          <w:b/>
          <w:bCs/>
          <w:sz w:val="24"/>
          <w:szCs w:val="24"/>
        </w:rPr>
        <w:t>Improve Transparency</w:t>
      </w:r>
      <w:r w:rsidRPr="000E5128">
        <w:rPr>
          <w:rFonts w:ascii="Gill Sans MT" w:hAnsi="Gill Sans MT"/>
          <w:sz w:val="24"/>
          <w:szCs w:val="24"/>
        </w:rPr>
        <w:t xml:space="preserve">: Communicate </w:t>
      </w:r>
      <w:proofErr w:type="spellStart"/>
      <w:r w:rsidRPr="000E5128">
        <w:rPr>
          <w:rFonts w:ascii="Gill Sans MT" w:hAnsi="Gill Sans MT"/>
          <w:sz w:val="24"/>
          <w:szCs w:val="24"/>
        </w:rPr>
        <w:t>BoG</w:t>
      </w:r>
      <w:proofErr w:type="spellEnd"/>
      <w:r w:rsidRPr="000E5128">
        <w:rPr>
          <w:rFonts w:ascii="Gill Sans MT" w:hAnsi="Gill Sans MT"/>
          <w:sz w:val="24"/>
          <w:szCs w:val="24"/>
        </w:rPr>
        <w:t xml:space="preserve"> and IMF actions clearly to sustain market confidence and reduce volatility</w:t>
      </w:r>
      <w:r w:rsidR="006F3100">
        <w:rPr>
          <w:rFonts w:ascii="Gill Sans MT" w:hAnsi="Gill Sans MT"/>
          <w:sz w:val="24"/>
          <w:szCs w:val="24"/>
        </w:rPr>
        <w:t xml:space="preserve"> as recommended in our first research paper: </w:t>
      </w:r>
      <w:r w:rsidR="006F3100" w:rsidRPr="006F3100">
        <w:rPr>
          <w:rFonts w:ascii="Gill Sans MT" w:hAnsi="Gill Sans MT"/>
          <w:i/>
          <w:iCs/>
          <w:color w:val="4472C4" w:themeColor="accent1"/>
          <w:sz w:val="24"/>
          <w:szCs w:val="24"/>
        </w:rPr>
        <w:t>Exchange Rate Stability in Ghana</w:t>
      </w:r>
    </w:p>
    <w:p w14:paraId="14ADCFB1" w14:textId="77777777" w:rsidR="00095085" w:rsidRDefault="00095085" w:rsidP="00095085">
      <w:pPr>
        <w:pStyle w:val="NormalWeb"/>
        <w:numPr>
          <w:ilvl w:val="0"/>
          <w:numId w:val="8"/>
        </w:numPr>
      </w:pPr>
      <w:r>
        <w:rPr>
          <w:rStyle w:val="Strong"/>
          <w:rFonts w:eastAsiaTheme="majorEastAsia"/>
        </w:rPr>
        <w:t>Monitor Global Trade</w:t>
      </w:r>
      <w:r>
        <w:t>: Track US tariff war developments and their impact on the dollar to adjust forex strategies proactively.</w:t>
      </w:r>
    </w:p>
    <w:p w14:paraId="7A8155C2" w14:textId="77777777" w:rsidR="00095085" w:rsidRPr="000E5128" w:rsidRDefault="00095085" w:rsidP="00095085">
      <w:pPr>
        <w:ind w:left="720"/>
        <w:rPr>
          <w:rFonts w:ascii="Gill Sans MT" w:hAnsi="Gill Sans MT"/>
          <w:i/>
          <w:iCs/>
          <w:color w:val="4472C4" w:themeColor="accent1"/>
          <w:sz w:val="24"/>
          <w:szCs w:val="24"/>
        </w:rPr>
      </w:pPr>
    </w:p>
    <w:p w14:paraId="484AC520" w14:textId="77777777" w:rsidR="000E5128" w:rsidRPr="000E5128" w:rsidRDefault="000E5128" w:rsidP="000E5128">
      <w:pPr>
        <w:rPr>
          <w:rFonts w:ascii="Gill Sans MT" w:hAnsi="Gill Sans MT"/>
          <w:b/>
          <w:bCs/>
          <w:sz w:val="24"/>
          <w:szCs w:val="24"/>
        </w:rPr>
      </w:pPr>
      <w:r w:rsidRPr="000E5128">
        <w:rPr>
          <w:rFonts w:ascii="Gill Sans MT" w:hAnsi="Gill Sans MT"/>
          <w:b/>
          <w:bCs/>
          <w:sz w:val="24"/>
          <w:szCs w:val="24"/>
        </w:rPr>
        <w:t>7. Conclusion</w:t>
      </w:r>
    </w:p>
    <w:p w14:paraId="3AF875E8" w14:textId="08A62CE8" w:rsidR="000E5128" w:rsidRDefault="000E5128" w:rsidP="000E5128">
      <w:pPr>
        <w:rPr>
          <w:rFonts w:ascii="Gill Sans MT" w:hAnsi="Gill Sans MT"/>
          <w:sz w:val="24"/>
          <w:szCs w:val="24"/>
        </w:rPr>
      </w:pPr>
      <w:r w:rsidRPr="000E5128">
        <w:rPr>
          <w:rFonts w:ascii="Gill Sans MT" w:hAnsi="Gill Sans MT"/>
          <w:sz w:val="24"/>
          <w:szCs w:val="24"/>
        </w:rPr>
        <w:t xml:space="preserve">The Ghanaian Cedi’s appreciation to GHS 13.47/USD is driven by </w:t>
      </w:r>
      <w:proofErr w:type="spellStart"/>
      <w:r w:rsidRPr="000E5128">
        <w:rPr>
          <w:rFonts w:ascii="Gill Sans MT" w:hAnsi="Gill Sans MT"/>
          <w:sz w:val="24"/>
          <w:szCs w:val="24"/>
        </w:rPr>
        <w:t>BoG’s</w:t>
      </w:r>
      <w:proofErr w:type="spellEnd"/>
      <w:r w:rsidRPr="000E5128">
        <w:rPr>
          <w:rFonts w:ascii="Gill Sans MT" w:hAnsi="Gill Sans MT"/>
          <w:sz w:val="24"/>
          <w:szCs w:val="24"/>
        </w:rPr>
        <w:t xml:space="preserve"> $490 million forex interventions, the </w:t>
      </w:r>
      <w:proofErr w:type="spellStart"/>
      <w:r w:rsidRPr="000E5128">
        <w:rPr>
          <w:rFonts w:ascii="Gill Sans MT" w:hAnsi="Gill Sans MT"/>
          <w:sz w:val="24"/>
          <w:szCs w:val="24"/>
        </w:rPr>
        <w:t>Goldbod</w:t>
      </w:r>
      <w:proofErr w:type="spellEnd"/>
      <w:r w:rsidRPr="000E5128">
        <w:rPr>
          <w:rFonts w:ascii="Gill Sans MT" w:hAnsi="Gill Sans MT"/>
          <w:sz w:val="24"/>
          <w:szCs w:val="24"/>
        </w:rPr>
        <w:t xml:space="preserve"> initiative, IMF-backed reforms, fiscal discipline, and positive market sentiment fueled by high commodity prices. The exchange rate chart from January to May 2025 illustrates a clear appreciation trend, with a 6.39% gain in April alone. While these factors have delivered robust gains, long-term stability requires addressing import dependence and external vulnerabilities. Policymakers should prioritize export diversification, sustained reforms, and transparent communication to ensure the Cedi’s resilience and support Ghana’s economic recovery.</w:t>
      </w:r>
    </w:p>
    <w:p w14:paraId="6A1567B1" w14:textId="77777777" w:rsidR="009030BF" w:rsidRDefault="009030BF" w:rsidP="000E5128">
      <w:pPr>
        <w:rPr>
          <w:rFonts w:ascii="Gill Sans MT" w:hAnsi="Gill Sans MT"/>
          <w:sz w:val="24"/>
          <w:szCs w:val="24"/>
        </w:rPr>
      </w:pPr>
    </w:p>
    <w:p w14:paraId="2198F4B0" w14:textId="4CFC5DC5" w:rsidR="009030BF" w:rsidRPr="009030BF" w:rsidRDefault="000E5128" w:rsidP="009030BF">
      <w:pPr>
        <w:pStyle w:val="NoSpacing"/>
        <w:rPr>
          <w:rFonts w:ascii="Segoe UI" w:hAnsi="Segoe UI" w:cs="Segoe UI"/>
          <w:b/>
          <w:bCs/>
        </w:rPr>
      </w:pPr>
      <w:r w:rsidRPr="009030BF">
        <w:rPr>
          <w:rFonts w:ascii="Segoe UI" w:hAnsi="Segoe UI" w:cs="Segoe UI"/>
          <w:b/>
          <w:bCs/>
        </w:rPr>
        <w:t xml:space="preserve">Isaac Osei Owusu, Lead Analyst, </w:t>
      </w:r>
      <w:r w:rsidR="009030BF">
        <w:rPr>
          <w:rFonts w:ascii="Segoe UI" w:hAnsi="Segoe UI" w:cs="Segoe UI"/>
          <w:b/>
          <w:bCs/>
        </w:rPr>
        <w:t xml:space="preserve">Policy, </w:t>
      </w:r>
      <w:r w:rsidRPr="009030BF">
        <w:rPr>
          <w:rFonts w:ascii="Segoe UI" w:hAnsi="Segoe UI" w:cs="Segoe UI"/>
          <w:b/>
          <w:bCs/>
        </w:rPr>
        <w:t xml:space="preserve">Research, </w:t>
      </w:r>
      <w:r w:rsidR="009030BF">
        <w:rPr>
          <w:rFonts w:ascii="Segoe UI" w:hAnsi="Segoe UI" w:cs="Segoe UI"/>
          <w:b/>
          <w:bCs/>
        </w:rPr>
        <w:t>and A</w:t>
      </w:r>
      <w:r w:rsidRPr="009030BF">
        <w:rPr>
          <w:rFonts w:ascii="Segoe UI" w:hAnsi="Segoe UI" w:cs="Segoe UI"/>
          <w:b/>
          <w:bCs/>
        </w:rPr>
        <w:t xml:space="preserve">dvocacy </w:t>
      </w:r>
    </w:p>
    <w:p w14:paraId="34A260A2" w14:textId="3364157C" w:rsidR="000E5128" w:rsidRPr="009030BF" w:rsidRDefault="000E5128" w:rsidP="009030BF">
      <w:pPr>
        <w:pStyle w:val="NoSpacing"/>
        <w:rPr>
          <w:rFonts w:ascii="Segoe UI" w:hAnsi="Segoe UI" w:cs="Segoe UI"/>
          <w:b/>
          <w:bCs/>
        </w:rPr>
      </w:pPr>
      <w:r w:rsidRPr="009030BF">
        <w:rPr>
          <w:rFonts w:ascii="Segoe UI" w:hAnsi="Segoe UI" w:cs="Segoe UI"/>
          <w:b/>
          <w:bCs/>
        </w:rPr>
        <w:t>Ghana International Trade and Finance Conference (GITFiC).</w:t>
      </w:r>
    </w:p>
    <w:p w14:paraId="4DD5A294" w14:textId="77777777" w:rsidR="000E5128" w:rsidRPr="000E5128" w:rsidRDefault="000E5128" w:rsidP="000E5128">
      <w:pPr>
        <w:rPr>
          <w:rFonts w:ascii="Gill Sans MT" w:hAnsi="Gill Sans MT"/>
          <w:sz w:val="24"/>
          <w:szCs w:val="24"/>
        </w:rPr>
      </w:pPr>
    </w:p>
    <w:p w14:paraId="02DA45FF" w14:textId="77777777" w:rsidR="000E5128" w:rsidRPr="000E5128" w:rsidRDefault="000E5128" w:rsidP="000E5128">
      <w:pPr>
        <w:rPr>
          <w:rFonts w:ascii="Gill Sans MT" w:hAnsi="Gill Sans MT"/>
          <w:b/>
          <w:bCs/>
          <w:sz w:val="24"/>
          <w:szCs w:val="24"/>
        </w:rPr>
      </w:pPr>
      <w:r w:rsidRPr="000E5128">
        <w:rPr>
          <w:rFonts w:ascii="Gill Sans MT" w:hAnsi="Gill Sans MT"/>
          <w:b/>
          <w:bCs/>
          <w:sz w:val="24"/>
          <w:szCs w:val="24"/>
        </w:rPr>
        <w:t>8. References</w:t>
      </w:r>
    </w:p>
    <w:p w14:paraId="0ABC0741" w14:textId="77777777" w:rsidR="000E5128" w:rsidRPr="000E5128" w:rsidRDefault="000E5128" w:rsidP="000E5128">
      <w:pPr>
        <w:numPr>
          <w:ilvl w:val="0"/>
          <w:numId w:val="9"/>
        </w:numPr>
        <w:rPr>
          <w:rFonts w:ascii="Gill Sans MT" w:hAnsi="Gill Sans MT"/>
          <w:sz w:val="24"/>
          <w:szCs w:val="24"/>
        </w:rPr>
      </w:pPr>
      <w:r w:rsidRPr="000E5128">
        <w:rPr>
          <w:rFonts w:ascii="Gill Sans MT" w:hAnsi="Gill Sans MT"/>
          <w:sz w:val="24"/>
          <w:szCs w:val="24"/>
        </w:rPr>
        <w:t xml:space="preserve">Bank of Ghana. (2025). </w:t>
      </w:r>
      <w:r w:rsidRPr="000E5128">
        <w:rPr>
          <w:rFonts w:ascii="Gill Sans MT" w:hAnsi="Gill Sans MT"/>
          <w:i/>
          <w:iCs/>
          <w:sz w:val="24"/>
          <w:szCs w:val="24"/>
        </w:rPr>
        <w:t>Daily Interbank FX Rates</w:t>
      </w:r>
      <w:r w:rsidRPr="000E5128">
        <w:rPr>
          <w:rFonts w:ascii="Gill Sans MT" w:hAnsi="Gill Sans MT"/>
          <w:sz w:val="24"/>
          <w:szCs w:val="24"/>
        </w:rPr>
        <w:t xml:space="preserve">. Accra: </w:t>
      </w:r>
      <w:proofErr w:type="spellStart"/>
      <w:r w:rsidRPr="000E5128">
        <w:rPr>
          <w:rFonts w:ascii="Gill Sans MT" w:hAnsi="Gill Sans MT"/>
          <w:sz w:val="24"/>
          <w:szCs w:val="24"/>
        </w:rPr>
        <w:t>BoG</w:t>
      </w:r>
      <w:proofErr w:type="spellEnd"/>
      <w:r w:rsidRPr="000E5128">
        <w:rPr>
          <w:rFonts w:ascii="Gill Sans MT" w:hAnsi="Gill Sans MT"/>
          <w:sz w:val="24"/>
          <w:szCs w:val="24"/>
        </w:rPr>
        <w:t>.</w:t>
      </w:r>
    </w:p>
    <w:p w14:paraId="6A6F0442" w14:textId="77777777" w:rsidR="000E5128" w:rsidRPr="000E5128" w:rsidRDefault="000E5128" w:rsidP="000E5128">
      <w:pPr>
        <w:numPr>
          <w:ilvl w:val="0"/>
          <w:numId w:val="9"/>
        </w:numPr>
        <w:rPr>
          <w:rFonts w:ascii="Gill Sans MT" w:hAnsi="Gill Sans MT"/>
          <w:sz w:val="24"/>
          <w:szCs w:val="24"/>
        </w:rPr>
      </w:pPr>
      <w:r w:rsidRPr="000E5128">
        <w:rPr>
          <w:rFonts w:ascii="Gill Sans MT" w:hAnsi="Gill Sans MT"/>
          <w:sz w:val="24"/>
          <w:szCs w:val="24"/>
        </w:rPr>
        <w:t xml:space="preserve">International Monetary Fund. (2023). </w:t>
      </w:r>
      <w:r w:rsidRPr="000E5128">
        <w:rPr>
          <w:rFonts w:ascii="Gill Sans MT" w:hAnsi="Gill Sans MT"/>
          <w:i/>
          <w:iCs/>
          <w:sz w:val="24"/>
          <w:szCs w:val="24"/>
        </w:rPr>
        <w:t>Extended Credit Facility Review</w:t>
      </w:r>
      <w:r w:rsidRPr="000E5128">
        <w:rPr>
          <w:rFonts w:ascii="Gill Sans MT" w:hAnsi="Gill Sans MT"/>
          <w:sz w:val="24"/>
          <w:szCs w:val="24"/>
        </w:rPr>
        <w:t>. Washington, DC: IMF.</w:t>
      </w:r>
    </w:p>
    <w:p w14:paraId="400338ED" w14:textId="77777777" w:rsidR="000E5128" w:rsidRPr="000E5128" w:rsidRDefault="000E5128" w:rsidP="000E5128">
      <w:pPr>
        <w:numPr>
          <w:ilvl w:val="0"/>
          <w:numId w:val="9"/>
        </w:numPr>
        <w:rPr>
          <w:rFonts w:ascii="Gill Sans MT" w:hAnsi="Gill Sans MT"/>
          <w:sz w:val="24"/>
          <w:szCs w:val="24"/>
        </w:rPr>
      </w:pPr>
      <w:r w:rsidRPr="000E5128">
        <w:rPr>
          <w:rFonts w:ascii="Gill Sans MT" w:hAnsi="Gill Sans MT"/>
          <w:sz w:val="24"/>
          <w:szCs w:val="24"/>
        </w:rPr>
        <w:t xml:space="preserve">TradingEconomics.com. (2025). </w:t>
      </w:r>
      <w:r w:rsidRPr="000E5128">
        <w:rPr>
          <w:rFonts w:ascii="Gill Sans MT" w:hAnsi="Gill Sans MT"/>
          <w:i/>
          <w:iCs/>
          <w:sz w:val="24"/>
          <w:szCs w:val="24"/>
        </w:rPr>
        <w:t>GHS/USD Exchange Rate Data</w:t>
      </w:r>
      <w:r w:rsidRPr="000E5128">
        <w:rPr>
          <w:rFonts w:ascii="Gill Sans MT" w:hAnsi="Gill Sans MT"/>
          <w:sz w:val="24"/>
          <w:szCs w:val="24"/>
        </w:rPr>
        <w:t xml:space="preserve">. Retrieved May 6, 2025, from </w:t>
      </w:r>
      <w:hyperlink r:id="rId7" w:history="1">
        <w:r w:rsidRPr="000E5128">
          <w:rPr>
            <w:rStyle w:val="Hyperlink"/>
            <w:rFonts w:ascii="Gill Sans MT" w:hAnsi="Gill Sans MT"/>
            <w:sz w:val="24"/>
            <w:szCs w:val="24"/>
          </w:rPr>
          <w:t>https://tradingeconomics.com.[](https://tradingeconomics.com/ghsusd:cur)</w:t>
        </w:r>
      </w:hyperlink>
    </w:p>
    <w:p w14:paraId="56ABA84C" w14:textId="77777777" w:rsidR="000E5128" w:rsidRPr="000E5128" w:rsidRDefault="000E5128" w:rsidP="000E5128">
      <w:pPr>
        <w:numPr>
          <w:ilvl w:val="0"/>
          <w:numId w:val="9"/>
        </w:numPr>
        <w:rPr>
          <w:rFonts w:ascii="Gill Sans MT" w:hAnsi="Gill Sans MT"/>
          <w:sz w:val="24"/>
          <w:szCs w:val="24"/>
        </w:rPr>
      </w:pPr>
      <w:r w:rsidRPr="000E5128">
        <w:rPr>
          <w:rFonts w:ascii="Gill Sans MT" w:hAnsi="Gill Sans MT"/>
          <w:sz w:val="24"/>
          <w:szCs w:val="24"/>
        </w:rPr>
        <w:t xml:space="preserve">Woodhall Capital. (2025). </w:t>
      </w:r>
      <w:r w:rsidRPr="000E5128">
        <w:rPr>
          <w:rFonts w:ascii="Gill Sans MT" w:hAnsi="Gill Sans MT"/>
          <w:i/>
          <w:iCs/>
          <w:sz w:val="24"/>
          <w:szCs w:val="24"/>
        </w:rPr>
        <w:t>Ghana Cedi Performance Report</w:t>
      </w:r>
      <w:r w:rsidRPr="000E5128">
        <w:rPr>
          <w:rFonts w:ascii="Gill Sans MT" w:hAnsi="Gill Sans MT"/>
          <w:sz w:val="24"/>
          <w:szCs w:val="24"/>
        </w:rPr>
        <w:t>. Lagos: Woodhall Capital.</w:t>
      </w:r>
    </w:p>
    <w:p w14:paraId="12646166" w14:textId="77777777" w:rsidR="000E5128" w:rsidRPr="000E5128" w:rsidRDefault="000E5128" w:rsidP="000E5128">
      <w:pPr>
        <w:numPr>
          <w:ilvl w:val="0"/>
          <w:numId w:val="9"/>
        </w:numPr>
        <w:rPr>
          <w:rFonts w:ascii="Gill Sans MT" w:hAnsi="Gill Sans MT"/>
          <w:sz w:val="24"/>
          <w:szCs w:val="24"/>
        </w:rPr>
      </w:pPr>
      <w:r w:rsidRPr="000E5128">
        <w:rPr>
          <w:rFonts w:ascii="Gill Sans MT" w:hAnsi="Gill Sans MT"/>
          <w:sz w:val="24"/>
          <w:szCs w:val="24"/>
        </w:rPr>
        <w:t xml:space="preserve">XE.com. (2025). </w:t>
      </w:r>
      <w:r w:rsidRPr="000E5128">
        <w:rPr>
          <w:rFonts w:ascii="Gill Sans MT" w:hAnsi="Gill Sans MT"/>
          <w:i/>
          <w:iCs/>
          <w:sz w:val="24"/>
          <w:szCs w:val="24"/>
        </w:rPr>
        <w:t>USD/GHS Historical Data</w:t>
      </w:r>
      <w:r w:rsidRPr="000E5128">
        <w:rPr>
          <w:rFonts w:ascii="Gill Sans MT" w:hAnsi="Gill Sans MT"/>
          <w:sz w:val="24"/>
          <w:szCs w:val="24"/>
        </w:rPr>
        <w:t xml:space="preserve">. Retrieved May 6, 2025, from </w:t>
      </w:r>
      <w:hyperlink r:id="rId8" w:history="1">
        <w:r w:rsidRPr="000E5128">
          <w:rPr>
            <w:rStyle w:val="Hyperlink"/>
            <w:rFonts w:ascii="Gill Sans MT" w:hAnsi="Gill Sans MT"/>
            <w:sz w:val="24"/>
            <w:szCs w:val="24"/>
          </w:rPr>
          <w:t>https://xe.com.[](https://www.xe.com/currencycharts/?from=GHS&amp;to=USD)</w:t>
        </w:r>
      </w:hyperlink>
    </w:p>
    <w:p w14:paraId="27B1CC1E" w14:textId="2160E0E3" w:rsidR="00AC02CE" w:rsidRPr="00D85C32" w:rsidRDefault="000E5128" w:rsidP="00D85C32">
      <w:pPr>
        <w:numPr>
          <w:ilvl w:val="0"/>
          <w:numId w:val="9"/>
        </w:numPr>
        <w:rPr>
          <w:rFonts w:ascii="Gill Sans MT" w:hAnsi="Gill Sans MT"/>
          <w:sz w:val="24"/>
          <w:szCs w:val="24"/>
        </w:rPr>
      </w:pPr>
      <w:r w:rsidRPr="000E5128">
        <w:rPr>
          <w:rFonts w:ascii="Gill Sans MT" w:hAnsi="Gill Sans MT"/>
          <w:sz w:val="24"/>
          <w:szCs w:val="24"/>
        </w:rPr>
        <w:t xml:space="preserve">Wise. (2025). </w:t>
      </w:r>
      <w:r w:rsidRPr="000E5128">
        <w:rPr>
          <w:rFonts w:ascii="Gill Sans MT" w:hAnsi="Gill Sans MT"/>
          <w:i/>
          <w:iCs/>
          <w:sz w:val="24"/>
          <w:szCs w:val="24"/>
        </w:rPr>
        <w:t>GHS to USD Exchange Rate History</w:t>
      </w:r>
      <w:r w:rsidRPr="000E5128">
        <w:rPr>
          <w:rFonts w:ascii="Gill Sans MT" w:hAnsi="Gill Sans MT"/>
          <w:sz w:val="24"/>
          <w:szCs w:val="24"/>
        </w:rPr>
        <w:t xml:space="preserve">. Retrieved May 6, 2025, from </w:t>
      </w:r>
      <w:hyperlink r:id="rId9" w:history="1">
        <w:r w:rsidRPr="000E5128">
          <w:rPr>
            <w:rStyle w:val="Hyperlink"/>
            <w:rFonts w:ascii="Gill Sans MT" w:hAnsi="Gill Sans MT"/>
            <w:sz w:val="24"/>
            <w:szCs w:val="24"/>
          </w:rPr>
          <w:t>https://wise.com.[](https://wise.com/gb/currency-converter/ghs-to-usd-rate/history)</w:t>
        </w:r>
      </w:hyperlink>
    </w:p>
    <w:sectPr w:rsidR="00AC02CE" w:rsidRPr="00D85C32" w:rsidSect="009030BF">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6C28"/>
    <w:multiLevelType w:val="multilevel"/>
    <w:tmpl w:val="02363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64114B"/>
    <w:multiLevelType w:val="multilevel"/>
    <w:tmpl w:val="36BC5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E7756A"/>
    <w:multiLevelType w:val="multilevel"/>
    <w:tmpl w:val="7E4ED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F72941"/>
    <w:multiLevelType w:val="multilevel"/>
    <w:tmpl w:val="CDCCA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BB28EE"/>
    <w:multiLevelType w:val="multilevel"/>
    <w:tmpl w:val="CA7EE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B23705"/>
    <w:multiLevelType w:val="multilevel"/>
    <w:tmpl w:val="F2E4C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0230AC"/>
    <w:multiLevelType w:val="multilevel"/>
    <w:tmpl w:val="D4E62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B431A8"/>
    <w:multiLevelType w:val="multilevel"/>
    <w:tmpl w:val="60446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CD73AD"/>
    <w:multiLevelType w:val="multilevel"/>
    <w:tmpl w:val="00867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2"/>
  </w:num>
  <w:num w:numId="4">
    <w:abstractNumId w:val="5"/>
  </w:num>
  <w:num w:numId="5">
    <w:abstractNumId w:val="8"/>
  </w:num>
  <w:num w:numId="6">
    <w:abstractNumId w:val="1"/>
  </w:num>
  <w:num w:numId="7">
    <w:abstractNumId w:val="7"/>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128"/>
    <w:rsid w:val="00095085"/>
    <w:rsid w:val="000E5128"/>
    <w:rsid w:val="000F28DA"/>
    <w:rsid w:val="002F4BAC"/>
    <w:rsid w:val="004E1C8C"/>
    <w:rsid w:val="00535B6E"/>
    <w:rsid w:val="00645A0B"/>
    <w:rsid w:val="006F3100"/>
    <w:rsid w:val="007E0F5D"/>
    <w:rsid w:val="008518B9"/>
    <w:rsid w:val="009030BF"/>
    <w:rsid w:val="00A73115"/>
    <w:rsid w:val="00A84205"/>
    <w:rsid w:val="00AC02CE"/>
    <w:rsid w:val="00B20F0A"/>
    <w:rsid w:val="00B263A8"/>
    <w:rsid w:val="00B3110B"/>
    <w:rsid w:val="00BF3C06"/>
    <w:rsid w:val="00CE4A0D"/>
    <w:rsid w:val="00D85C32"/>
    <w:rsid w:val="00EF3B82"/>
    <w:rsid w:val="00FB2CD9"/>
    <w:rsid w:val="00FC6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98E26B"/>
  <w15:chartTrackingRefBased/>
  <w15:docId w15:val="{8EC467AA-A698-4F82-AC4E-CA0BFD43A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512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autoRedefine/>
    <w:uiPriority w:val="9"/>
    <w:unhideWhenUsed/>
    <w:qFormat/>
    <w:rsid w:val="00B263A8"/>
    <w:pPr>
      <w:keepNext/>
      <w:keepLines/>
      <w:spacing w:before="40" w:after="0"/>
      <w:outlineLvl w:val="1"/>
    </w:pPr>
    <w:rPr>
      <w:rFonts w:asciiTheme="majorHAnsi" w:eastAsiaTheme="majorEastAsia" w:hAnsiTheme="majorHAnsi" w:cstheme="majorBidi"/>
      <w:color w:val="000000" w:themeColor="text1"/>
      <w:sz w:val="26"/>
      <w:szCs w:val="26"/>
    </w:rPr>
  </w:style>
  <w:style w:type="paragraph" w:styleId="Heading3">
    <w:name w:val="heading 3"/>
    <w:basedOn w:val="Normal"/>
    <w:next w:val="Normal"/>
    <w:link w:val="Heading3Char"/>
    <w:uiPriority w:val="9"/>
    <w:semiHidden/>
    <w:unhideWhenUsed/>
    <w:qFormat/>
    <w:rsid w:val="000E512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E512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E512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E51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51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51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51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63A8"/>
    <w:rPr>
      <w:rFonts w:asciiTheme="majorHAnsi" w:eastAsiaTheme="majorEastAsia" w:hAnsiTheme="majorHAnsi" w:cstheme="majorBidi"/>
      <w:color w:val="000000" w:themeColor="text1"/>
      <w:sz w:val="26"/>
      <w:szCs w:val="26"/>
    </w:rPr>
  </w:style>
  <w:style w:type="character" w:customStyle="1" w:styleId="Heading1Char">
    <w:name w:val="Heading 1 Char"/>
    <w:basedOn w:val="DefaultParagraphFont"/>
    <w:link w:val="Heading1"/>
    <w:uiPriority w:val="9"/>
    <w:rsid w:val="000E5128"/>
    <w:rPr>
      <w:rFonts w:asciiTheme="majorHAnsi" w:eastAsiaTheme="majorEastAsia" w:hAnsiTheme="majorHAnsi" w:cstheme="majorBidi"/>
      <w:color w:val="2F5496" w:themeColor="accent1" w:themeShade="BF"/>
      <w:sz w:val="40"/>
      <w:szCs w:val="40"/>
    </w:rPr>
  </w:style>
  <w:style w:type="character" w:customStyle="1" w:styleId="Heading3Char">
    <w:name w:val="Heading 3 Char"/>
    <w:basedOn w:val="DefaultParagraphFont"/>
    <w:link w:val="Heading3"/>
    <w:uiPriority w:val="9"/>
    <w:semiHidden/>
    <w:rsid w:val="000E512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E512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E512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E51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51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51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5128"/>
    <w:rPr>
      <w:rFonts w:eastAsiaTheme="majorEastAsia" w:cstheme="majorBidi"/>
      <w:color w:val="272727" w:themeColor="text1" w:themeTint="D8"/>
    </w:rPr>
  </w:style>
  <w:style w:type="paragraph" w:styleId="Title">
    <w:name w:val="Title"/>
    <w:basedOn w:val="Normal"/>
    <w:next w:val="Normal"/>
    <w:link w:val="TitleChar"/>
    <w:uiPriority w:val="10"/>
    <w:qFormat/>
    <w:rsid w:val="000E51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51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51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51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5128"/>
    <w:pPr>
      <w:spacing w:before="160"/>
      <w:jc w:val="center"/>
    </w:pPr>
    <w:rPr>
      <w:i/>
      <w:iCs/>
      <w:color w:val="404040" w:themeColor="text1" w:themeTint="BF"/>
    </w:rPr>
  </w:style>
  <w:style w:type="character" w:customStyle="1" w:styleId="QuoteChar">
    <w:name w:val="Quote Char"/>
    <w:basedOn w:val="DefaultParagraphFont"/>
    <w:link w:val="Quote"/>
    <w:uiPriority w:val="29"/>
    <w:rsid w:val="000E5128"/>
    <w:rPr>
      <w:i/>
      <w:iCs/>
      <w:color w:val="404040" w:themeColor="text1" w:themeTint="BF"/>
    </w:rPr>
  </w:style>
  <w:style w:type="paragraph" w:styleId="ListParagraph">
    <w:name w:val="List Paragraph"/>
    <w:basedOn w:val="Normal"/>
    <w:uiPriority w:val="34"/>
    <w:qFormat/>
    <w:rsid w:val="000E5128"/>
    <w:pPr>
      <w:ind w:left="720"/>
      <w:contextualSpacing/>
    </w:pPr>
  </w:style>
  <w:style w:type="character" w:styleId="IntenseEmphasis">
    <w:name w:val="Intense Emphasis"/>
    <w:basedOn w:val="DefaultParagraphFont"/>
    <w:uiPriority w:val="21"/>
    <w:qFormat/>
    <w:rsid w:val="000E5128"/>
    <w:rPr>
      <w:i/>
      <w:iCs/>
      <w:color w:val="2F5496" w:themeColor="accent1" w:themeShade="BF"/>
    </w:rPr>
  </w:style>
  <w:style w:type="paragraph" w:styleId="IntenseQuote">
    <w:name w:val="Intense Quote"/>
    <w:basedOn w:val="Normal"/>
    <w:next w:val="Normal"/>
    <w:link w:val="IntenseQuoteChar"/>
    <w:uiPriority w:val="30"/>
    <w:qFormat/>
    <w:rsid w:val="000E51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E5128"/>
    <w:rPr>
      <w:i/>
      <w:iCs/>
      <w:color w:val="2F5496" w:themeColor="accent1" w:themeShade="BF"/>
    </w:rPr>
  </w:style>
  <w:style w:type="character" w:styleId="IntenseReference">
    <w:name w:val="Intense Reference"/>
    <w:basedOn w:val="DefaultParagraphFont"/>
    <w:uiPriority w:val="32"/>
    <w:qFormat/>
    <w:rsid w:val="000E5128"/>
    <w:rPr>
      <w:b/>
      <w:bCs/>
      <w:smallCaps/>
      <w:color w:val="2F5496" w:themeColor="accent1" w:themeShade="BF"/>
      <w:spacing w:val="5"/>
    </w:rPr>
  </w:style>
  <w:style w:type="character" w:styleId="Hyperlink">
    <w:name w:val="Hyperlink"/>
    <w:basedOn w:val="DefaultParagraphFont"/>
    <w:uiPriority w:val="99"/>
    <w:unhideWhenUsed/>
    <w:rsid w:val="000E5128"/>
    <w:rPr>
      <w:color w:val="0563C1" w:themeColor="hyperlink"/>
      <w:u w:val="single"/>
    </w:rPr>
  </w:style>
  <w:style w:type="character" w:styleId="UnresolvedMention">
    <w:name w:val="Unresolved Mention"/>
    <w:basedOn w:val="DefaultParagraphFont"/>
    <w:uiPriority w:val="99"/>
    <w:semiHidden/>
    <w:unhideWhenUsed/>
    <w:rsid w:val="000E5128"/>
    <w:rPr>
      <w:color w:val="605E5C"/>
      <w:shd w:val="clear" w:color="auto" w:fill="E1DFDD"/>
    </w:rPr>
  </w:style>
  <w:style w:type="table" w:styleId="TableGridLight">
    <w:name w:val="Grid Table Light"/>
    <w:basedOn w:val="TableNormal"/>
    <w:uiPriority w:val="40"/>
    <w:rsid w:val="000E512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095085"/>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095085"/>
    <w:rPr>
      <w:b/>
      <w:bCs/>
    </w:rPr>
  </w:style>
  <w:style w:type="paragraph" w:styleId="NoSpacing">
    <w:name w:val="No Spacing"/>
    <w:uiPriority w:val="1"/>
    <w:qFormat/>
    <w:rsid w:val="009030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5883">
      <w:bodyDiv w:val="1"/>
      <w:marLeft w:val="0"/>
      <w:marRight w:val="0"/>
      <w:marTop w:val="0"/>
      <w:marBottom w:val="0"/>
      <w:divBdr>
        <w:top w:val="none" w:sz="0" w:space="0" w:color="auto"/>
        <w:left w:val="none" w:sz="0" w:space="0" w:color="auto"/>
        <w:bottom w:val="none" w:sz="0" w:space="0" w:color="auto"/>
        <w:right w:val="none" w:sz="0" w:space="0" w:color="auto"/>
      </w:divBdr>
    </w:div>
    <w:div w:id="417675339">
      <w:bodyDiv w:val="1"/>
      <w:marLeft w:val="0"/>
      <w:marRight w:val="0"/>
      <w:marTop w:val="0"/>
      <w:marBottom w:val="0"/>
      <w:divBdr>
        <w:top w:val="none" w:sz="0" w:space="0" w:color="auto"/>
        <w:left w:val="none" w:sz="0" w:space="0" w:color="auto"/>
        <w:bottom w:val="none" w:sz="0" w:space="0" w:color="auto"/>
        <w:right w:val="none" w:sz="0" w:space="0" w:color="auto"/>
      </w:divBdr>
    </w:div>
    <w:div w:id="598024936">
      <w:bodyDiv w:val="1"/>
      <w:marLeft w:val="0"/>
      <w:marRight w:val="0"/>
      <w:marTop w:val="0"/>
      <w:marBottom w:val="0"/>
      <w:divBdr>
        <w:top w:val="none" w:sz="0" w:space="0" w:color="auto"/>
        <w:left w:val="none" w:sz="0" w:space="0" w:color="auto"/>
        <w:bottom w:val="none" w:sz="0" w:space="0" w:color="auto"/>
        <w:right w:val="none" w:sz="0" w:space="0" w:color="auto"/>
      </w:divBdr>
    </w:div>
    <w:div w:id="958411844">
      <w:bodyDiv w:val="1"/>
      <w:marLeft w:val="0"/>
      <w:marRight w:val="0"/>
      <w:marTop w:val="0"/>
      <w:marBottom w:val="0"/>
      <w:divBdr>
        <w:top w:val="none" w:sz="0" w:space="0" w:color="auto"/>
        <w:left w:val="none" w:sz="0" w:space="0" w:color="auto"/>
        <w:bottom w:val="none" w:sz="0" w:space="0" w:color="auto"/>
        <w:right w:val="none" w:sz="0" w:space="0" w:color="auto"/>
      </w:divBdr>
    </w:div>
    <w:div w:id="1027408420">
      <w:bodyDiv w:val="1"/>
      <w:marLeft w:val="0"/>
      <w:marRight w:val="0"/>
      <w:marTop w:val="0"/>
      <w:marBottom w:val="0"/>
      <w:divBdr>
        <w:top w:val="none" w:sz="0" w:space="0" w:color="auto"/>
        <w:left w:val="none" w:sz="0" w:space="0" w:color="auto"/>
        <w:bottom w:val="none" w:sz="0" w:space="0" w:color="auto"/>
        <w:right w:val="none" w:sz="0" w:space="0" w:color="auto"/>
      </w:divBdr>
    </w:div>
    <w:div w:id="1338998047">
      <w:bodyDiv w:val="1"/>
      <w:marLeft w:val="0"/>
      <w:marRight w:val="0"/>
      <w:marTop w:val="0"/>
      <w:marBottom w:val="0"/>
      <w:divBdr>
        <w:top w:val="none" w:sz="0" w:space="0" w:color="auto"/>
        <w:left w:val="none" w:sz="0" w:space="0" w:color="auto"/>
        <w:bottom w:val="none" w:sz="0" w:space="0" w:color="auto"/>
        <w:right w:val="none" w:sz="0" w:space="0" w:color="auto"/>
      </w:divBdr>
    </w:div>
    <w:div w:id="1550342476">
      <w:bodyDiv w:val="1"/>
      <w:marLeft w:val="0"/>
      <w:marRight w:val="0"/>
      <w:marTop w:val="0"/>
      <w:marBottom w:val="0"/>
      <w:divBdr>
        <w:top w:val="none" w:sz="0" w:space="0" w:color="auto"/>
        <w:left w:val="none" w:sz="0" w:space="0" w:color="auto"/>
        <w:bottom w:val="none" w:sz="0" w:space="0" w:color="auto"/>
        <w:right w:val="none" w:sz="0" w:space="0" w:color="auto"/>
      </w:divBdr>
    </w:div>
    <w:div w:id="200234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xe.com.[](https/www.xe.com/currencycharts/?from=GHS&amp;to=USD)" TargetMode="External"/><Relationship Id="rId3" Type="http://schemas.openxmlformats.org/officeDocument/2006/relationships/settings" Target="settings.xml"/><Relationship Id="rId7" Type="http://schemas.openxmlformats.org/officeDocument/2006/relationships/hyperlink" Target="https://tradingeconomics.com.[](https/tradingeconomics.com/ghsusd:cu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ise.com.[](https/wise.com/gb/currency-converter/ghs-to-usd-rate/history)"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USD/GHS Rate</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numRef>
              <c:f>Sheet1!$A$2:$A$8</c:f>
              <c:numCache>
                <c:formatCode>d\-mmm\-yy</c:formatCode>
                <c:ptCount val="7"/>
                <c:pt idx="0">
                  <c:v>45658</c:v>
                </c:pt>
                <c:pt idx="1">
                  <c:v>45689</c:v>
                </c:pt>
                <c:pt idx="2">
                  <c:v>45717</c:v>
                </c:pt>
                <c:pt idx="3">
                  <c:v>45748</c:v>
                </c:pt>
                <c:pt idx="4">
                  <c:v>45774</c:v>
                </c:pt>
                <c:pt idx="5">
                  <c:v>45779</c:v>
                </c:pt>
                <c:pt idx="6">
                  <c:v>45783</c:v>
                </c:pt>
              </c:numCache>
            </c:numRef>
          </c:cat>
          <c:val>
            <c:numRef>
              <c:f>Sheet1!$B$2:$B$8</c:f>
              <c:numCache>
                <c:formatCode>General</c:formatCode>
                <c:ptCount val="7"/>
                <c:pt idx="0">
                  <c:v>14.95</c:v>
                </c:pt>
                <c:pt idx="1">
                  <c:v>14.8</c:v>
                </c:pt>
                <c:pt idx="2">
                  <c:v>14.65</c:v>
                </c:pt>
                <c:pt idx="3">
                  <c:v>15.495100000000001</c:v>
                </c:pt>
                <c:pt idx="4">
                  <c:v>14.458</c:v>
                </c:pt>
                <c:pt idx="5">
                  <c:v>13.922000000000001</c:v>
                </c:pt>
                <c:pt idx="6">
                  <c:v>13.47</c:v>
                </c:pt>
              </c:numCache>
            </c:numRef>
          </c:val>
          <c:smooth val="0"/>
          <c:extLst>
            <c:ext xmlns:c16="http://schemas.microsoft.com/office/drawing/2014/chart" uri="{C3380CC4-5D6E-409C-BE32-E72D297353CC}">
              <c16:uniqueId val="{00000001-56DE-4BEE-9D02-2E06139DA268}"/>
            </c:ext>
          </c:extLst>
        </c:ser>
        <c:dLbls>
          <c:dLblPos val="t"/>
          <c:showLegendKey val="0"/>
          <c:showVal val="1"/>
          <c:showCatName val="0"/>
          <c:showSerName val="0"/>
          <c:showPercent val="0"/>
          <c:showBubbleSize val="0"/>
        </c:dLbls>
        <c:smooth val="0"/>
        <c:axId val="1471549679"/>
        <c:axId val="1471556399"/>
      </c:lineChart>
      <c:dateAx>
        <c:axId val="1471549679"/>
        <c:scaling>
          <c:orientation val="minMax"/>
        </c:scaling>
        <c:delete val="0"/>
        <c:axPos val="b"/>
        <c:numFmt formatCode="d\-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1556399"/>
        <c:crosses val="autoZero"/>
        <c:auto val="1"/>
        <c:lblOffset val="100"/>
        <c:baseTimeUnit val="days"/>
      </c:dateAx>
      <c:valAx>
        <c:axId val="1471556399"/>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154967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1320</Words>
  <Characters>8053</Characters>
  <Application>Microsoft Office Word</Application>
  <DocSecurity>0</DocSecurity>
  <Lines>187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Owusu</dc:creator>
  <cp:keywords/>
  <dc:description/>
  <cp:lastModifiedBy>Selasi Koffi Ackom</cp:lastModifiedBy>
  <cp:revision>2</cp:revision>
  <dcterms:created xsi:type="dcterms:W3CDTF">2025-05-07T13:09:00Z</dcterms:created>
  <dcterms:modified xsi:type="dcterms:W3CDTF">2025-05-07T13:09:00Z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f4af1525-92fa-47cc-a0a3-13378816f758</vt:lpwstr>
  </property>
</Properties>
</file>