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EDAC6" w14:textId="4B1F9A8C" w:rsidR="008D6166" w:rsidRDefault="008D6166" w:rsidP="00B24364">
      <w:pPr>
        <w:jc w:val="center"/>
        <w:rPr>
          <w:rFonts w:ascii="Gill Sans MT" w:hAnsi="Gill Sans MT"/>
          <w:b/>
          <w:bCs/>
          <w:color w:val="0070C0"/>
          <w:sz w:val="32"/>
          <w:szCs w:val="32"/>
          <w:u w:val="single"/>
        </w:rPr>
      </w:pPr>
      <w:bookmarkStart w:id="0" w:name="_GoBack"/>
      <w:bookmarkEnd w:id="0"/>
      <w:r>
        <w:rPr>
          <w:noProof/>
        </w:rPr>
        <w:drawing>
          <wp:anchor distT="0" distB="0" distL="114300" distR="114300" simplePos="0" relativeHeight="251659264" behindDoc="1" locked="0" layoutInCell="1" allowOverlap="1" wp14:anchorId="5215D3A5" wp14:editId="756FE12E">
            <wp:simplePos x="0" y="0"/>
            <wp:positionH relativeFrom="column">
              <wp:posOffset>561975</wp:posOffset>
            </wp:positionH>
            <wp:positionV relativeFrom="paragraph">
              <wp:posOffset>0</wp:posOffset>
            </wp:positionV>
            <wp:extent cx="4810760" cy="1365250"/>
            <wp:effectExtent l="0" t="0" r="8890" b="6350"/>
            <wp:wrapTight wrapText="bothSides">
              <wp:wrapPolygon edited="0">
                <wp:start x="0" y="0"/>
                <wp:lineTo x="0" y="21399"/>
                <wp:lineTo x="21554" y="21399"/>
                <wp:lineTo x="21554" y="0"/>
                <wp:lineTo x="0" y="0"/>
              </wp:wrapPolygon>
            </wp:wrapTight>
            <wp:docPr id="40062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760"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2BBD6" w14:textId="77777777" w:rsidR="008D6166" w:rsidRDefault="008D6166" w:rsidP="00B24364">
      <w:pPr>
        <w:jc w:val="center"/>
        <w:rPr>
          <w:rFonts w:ascii="Gill Sans MT" w:hAnsi="Gill Sans MT"/>
          <w:b/>
          <w:bCs/>
          <w:color w:val="0070C0"/>
          <w:sz w:val="32"/>
          <w:szCs w:val="32"/>
          <w:u w:val="single"/>
        </w:rPr>
      </w:pPr>
    </w:p>
    <w:p w14:paraId="74A32B38" w14:textId="77777777" w:rsidR="008E170F" w:rsidRDefault="008E170F" w:rsidP="008D6166">
      <w:pPr>
        <w:jc w:val="center"/>
        <w:rPr>
          <w:rFonts w:ascii="Gill Sans MT" w:hAnsi="Gill Sans MT"/>
          <w:b/>
          <w:bCs/>
          <w:color w:val="0070C0"/>
          <w:sz w:val="32"/>
          <w:szCs w:val="32"/>
          <w:u w:val="single"/>
        </w:rPr>
      </w:pPr>
    </w:p>
    <w:p w14:paraId="3C44A27F" w14:textId="77777777" w:rsidR="008E170F" w:rsidRDefault="008E170F" w:rsidP="008D6166">
      <w:pPr>
        <w:jc w:val="center"/>
        <w:rPr>
          <w:rFonts w:ascii="Gill Sans MT" w:hAnsi="Gill Sans MT"/>
          <w:b/>
          <w:bCs/>
          <w:color w:val="0070C0"/>
          <w:sz w:val="32"/>
          <w:szCs w:val="32"/>
          <w:u w:val="single"/>
        </w:rPr>
      </w:pPr>
    </w:p>
    <w:p w14:paraId="098DFB52" w14:textId="77777777" w:rsidR="008E170F" w:rsidRDefault="008E170F" w:rsidP="008D6166">
      <w:pPr>
        <w:jc w:val="center"/>
        <w:rPr>
          <w:rFonts w:ascii="Gill Sans MT" w:hAnsi="Gill Sans MT"/>
          <w:b/>
          <w:bCs/>
          <w:color w:val="0070C0"/>
          <w:sz w:val="32"/>
          <w:szCs w:val="32"/>
          <w:u w:val="single"/>
        </w:rPr>
      </w:pPr>
    </w:p>
    <w:p w14:paraId="1D7F5DB6" w14:textId="1D3686C4" w:rsidR="00B24364" w:rsidRPr="00B24364" w:rsidRDefault="008E170F" w:rsidP="008D6166">
      <w:pPr>
        <w:jc w:val="center"/>
        <w:rPr>
          <w:rFonts w:ascii="Gill Sans MT" w:hAnsi="Gill Sans MT"/>
          <w:color w:val="0070C0"/>
          <w:sz w:val="24"/>
          <w:szCs w:val="24"/>
        </w:rPr>
      </w:pPr>
      <w:r>
        <w:rPr>
          <w:rFonts w:ascii="Gill Sans MT" w:hAnsi="Gill Sans MT"/>
          <w:b/>
          <w:bCs/>
          <w:color w:val="0070C0"/>
          <w:sz w:val="32"/>
          <w:szCs w:val="32"/>
          <w:u w:val="single"/>
        </w:rPr>
        <w:t xml:space="preserve">The </w:t>
      </w:r>
      <w:r w:rsidR="00B24364" w:rsidRPr="00B24364">
        <w:rPr>
          <w:rFonts w:ascii="Gill Sans MT" w:hAnsi="Gill Sans MT"/>
          <w:b/>
          <w:bCs/>
          <w:color w:val="0070C0"/>
          <w:sz w:val="32"/>
          <w:szCs w:val="32"/>
          <w:u w:val="single"/>
        </w:rPr>
        <w:t>GITFiC 2025 USD/GHS Exchange Rate Projection Report</w:t>
      </w:r>
    </w:p>
    <w:p w14:paraId="665A24E4" w14:textId="77777777" w:rsidR="00546878" w:rsidRDefault="00546878" w:rsidP="00B24364">
      <w:pPr>
        <w:rPr>
          <w:rFonts w:ascii="Gill Sans MT" w:hAnsi="Gill Sans MT"/>
          <w:b/>
          <w:bCs/>
          <w:color w:val="0070C0"/>
          <w:sz w:val="24"/>
          <w:szCs w:val="24"/>
        </w:rPr>
      </w:pPr>
    </w:p>
    <w:p w14:paraId="3A3ACB96" w14:textId="4F3CB0DE"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t>Objective</w:t>
      </w:r>
    </w:p>
    <w:p w14:paraId="480B3119" w14:textId="489C4B37" w:rsidR="00B24364" w:rsidRPr="00B24364" w:rsidRDefault="00B24364" w:rsidP="00B24364">
      <w:pPr>
        <w:rPr>
          <w:rFonts w:ascii="Gill Sans MT" w:hAnsi="Gill Sans MT"/>
          <w:sz w:val="24"/>
          <w:szCs w:val="24"/>
        </w:rPr>
      </w:pPr>
      <w:r w:rsidRPr="00B24364">
        <w:rPr>
          <w:rFonts w:ascii="Gill Sans MT" w:hAnsi="Gill Sans MT"/>
          <w:sz w:val="24"/>
          <w:szCs w:val="24"/>
        </w:rPr>
        <w:t>This report provides a data-driven projection of the USD to GHS exchange rate for the year 2025. It offers insights into recent trends, economic drivers, technical indicators, and macroeconomic expectations, serving as a reliable guide for stakeholders in trade, finance, and policy formulation.</w:t>
      </w:r>
    </w:p>
    <w:p w14:paraId="0B68D193" w14:textId="77777777" w:rsidR="00546878" w:rsidRDefault="00546878" w:rsidP="00B24364">
      <w:pPr>
        <w:rPr>
          <w:rFonts w:ascii="Gill Sans MT" w:hAnsi="Gill Sans MT"/>
          <w:b/>
          <w:bCs/>
          <w:color w:val="0070C0"/>
          <w:sz w:val="24"/>
          <w:szCs w:val="24"/>
        </w:rPr>
      </w:pPr>
    </w:p>
    <w:p w14:paraId="706760F9" w14:textId="776C28DE"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t>Executive Summary</w:t>
      </w:r>
    </w:p>
    <w:p w14:paraId="07A9EBD5" w14:textId="5074C925" w:rsidR="00B24364" w:rsidRDefault="0097226B" w:rsidP="00B24364">
      <w:pPr>
        <w:rPr>
          <w:rFonts w:ascii="Gill Sans MT" w:hAnsi="Gill Sans MT"/>
          <w:sz w:val="24"/>
          <w:szCs w:val="24"/>
        </w:rPr>
      </w:pPr>
      <w:r w:rsidRPr="0097226B">
        <w:rPr>
          <w:rFonts w:ascii="Gill Sans MT" w:hAnsi="Gill Sans MT"/>
          <w:b/>
          <w:bCs/>
          <w:sz w:val="24"/>
          <w:szCs w:val="24"/>
        </w:rPr>
        <w:t>The Ghanaian Cedi (GHS)</w:t>
      </w:r>
      <w:r w:rsidRPr="0097226B">
        <w:rPr>
          <w:rFonts w:ascii="Gill Sans MT" w:hAnsi="Gill Sans MT"/>
          <w:sz w:val="24"/>
          <w:szCs w:val="24"/>
        </w:rPr>
        <w:t xml:space="preserve"> has shown a notable recovery against the United States Dollar (USD) in recent months, driven by significant structural adjustments, monetary discipline, and external sector performance. As of May 24, 2025, the GHS appreciated by </w:t>
      </w:r>
      <w:r w:rsidRPr="0097226B">
        <w:rPr>
          <w:rFonts w:ascii="Gill Sans MT" w:hAnsi="Gill Sans MT"/>
          <w:b/>
          <w:bCs/>
          <w:sz w:val="24"/>
          <w:szCs w:val="24"/>
        </w:rPr>
        <w:t>8.891% on a weekly basis</w:t>
      </w:r>
      <w:r w:rsidRPr="0097226B">
        <w:rPr>
          <w:rFonts w:ascii="Gill Sans MT" w:hAnsi="Gill Sans MT"/>
          <w:sz w:val="24"/>
          <w:szCs w:val="24"/>
        </w:rPr>
        <w:t xml:space="preserve">, with the interbank mid-rate reaching 11.07 GHS/USD. This appreciation reflects investor confidence following Ghana’s successful debt restructuring, improved commodity exports, and decisive interventions by the Bank of Ghana. On an annual basis, the cedi is projected to appreciate by approximately </w:t>
      </w:r>
      <w:r w:rsidR="00064FC4">
        <w:rPr>
          <w:rFonts w:ascii="Gill Sans MT" w:hAnsi="Gill Sans MT"/>
          <w:sz w:val="24"/>
          <w:szCs w:val="24"/>
        </w:rPr>
        <w:t>28</w:t>
      </w:r>
      <w:r w:rsidRPr="0097226B">
        <w:rPr>
          <w:rFonts w:ascii="Gill Sans MT" w:hAnsi="Gill Sans MT"/>
          <w:sz w:val="24"/>
          <w:szCs w:val="24"/>
        </w:rPr>
        <w:t>.</w:t>
      </w:r>
      <w:r w:rsidR="00064FC4">
        <w:rPr>
          <w:rFonts w:ascii="Gill Sans MT" w:hAnsi="Gill Sans MT"/>
          <w:sz w:val="24"/>
          <w:szCs w:val="24"/>
        </w:rPr>
        <w:t>94</w:t>
      </w:r>
      <w:r w:rsidRPr="0097226B">
        <w:rPr>
          <w:rFonts w:ascii="Gill Sans MT" w:hAnsi="Gill Sans MT"/>
          <w:sz w:val="24"/>
          <w:szCs w:val="24"/>
        </w:rPr>
        <w:t>% in 2025 compared to its average rate in 2024, underscoring a strong recovery trajectory and sustained</w:t>
      </w:r>
      <w:r w:rsidRPr="0097226B">
        <w:rPr>
          <w:rFonts w:ascii="Gill Sans MT" w:hAnsi="Gill Sans MT"/>
          <w:b/>
          <w:bCs/>
          <w:sz w:val="24"/>
          <w:szCs w:val="24"/>
        </w:rPr>
        <w:t xml:space="preserve"> </w:t>
      </w:r>
      <w:r w:rsidRPr="0097226B">
        <w:rPr>
          <w:rFonts w:ascii="Gill Sans MT" w:hAnsi="Gill Sans MT"/>
          <w:sz w:val="24"/>
          <w:szCs w:val="24"/>
        </w:rPr>
        <w:t>macroeconomic stability.</w:t>
      </w:r>
      <w:r>
        <w:rPr>
          <w:rFonts w:ascii="Gill Sans MT" w:hAnsi="Gill Sans MT"/>
          <w:sz w:val="24"/>
          <w:szCs w:val="24"/>
        </w:rPr>
        <w:t xml:space="preserve"> </w:t>
      </w:r>
      <w:r w:rsidR="00B24364" w:rsidRPr="00B24364">
        <w:rPr>
          <w:rFonts w:ascii="Gill Sans MT" w:hAnsi="Gill Sans MT"/>
          <w:sz w:val="24"/>
          <w:szCs w:val="24"/>
        </w:rPr>
        <w:t xml:space="preserve">GITFiC projects an average USD/GHS exchange rate of </w:t>
      </w:r>
      <w:r w:rsidR="00064FC4">
        <w:rPr>
          <w:rFonts w:ascii="Gill Sans MT" w:hAnsi="Gill Sans MT"/>
          <w:sz w:val="24"/>
          <w:szCs w:val="24"/>
        </w:rPr>
        <w:t>10.02</w:t>
      </w:r>
      <w:r w:rsidR="00B24364" w:rsidRPr="00B24364">
        <w:rPr>
          <w:rFonts w:ascii="Gill Sans MT" w:hAnsi="Gill Sans MT"/>
          <w:sz w:val="24"/>
          <w:szCs w:val="24"/>
        </w:rPr>
        <w:t xml:space="preserve"> for 2025, within a range of 7.09 to 13.16. The cedi is expected to maintain relative strength through Q2 2025, although volatility remains a risk due to domestic import demand and potential shifts in global monetary policy.</w:t>
      </w:r>
    </w:p>
    <w:p w14:paraId="2B5560D7" w14:textId="77777777" w:rsidR="008E170F" w:rsidRPr="00B24364" w:rsidRDefault="008E170F" w:rsidP="00B24364">
      <w:pPr>
        <w:rPr>
          <w:rFonts w:ascii="Gill Sans MT" w:hAnsi="Gill Sans MT"/>
          <w:sz w:val="24"/>
          <w:szCs w:val="24"/>
        </w:rPr>
      </w:pPr>
    </w:p>
    <w:p w14:paraId="1CC8F205" w14:textId="77777777" w:rsidR="00B24364" w:rsidRPr="00B24364" w:rsidRDefault="00B24364" w:rsidP="00B24364">
      <w:pPr>
        <w:rPr>
          <w:rFonts w:ascii="Gill Sans MT" w:hAnsi="Gill Sans MT"/>
          <w:b/>
          <w:bCs/>
          <w:color w:val="00B0F0"/>
          <w:sz w:val="24"/>
          <w:szCs w:val="24"/>
          <w:u w:val="single"/>
        </w:rPr>
      </w:pPr>
      <w:r w:rsidRPr="00B24364">
        <w:rPr>
          <w:rFonts w:ascii="Gill Sans MT" w:hAnsi="Gill Sans MT"/>
          <w:b/>
          <w:bCs/>
          <w:color w:val="00B0F0"/>
          <w:sz w:val="24"/>
          <w:szCs w:val="24"/>
          <w:u w:val="single"/>
        </w:rPr>
        <w:t>1. Current Exchange Rate Dynamics and Recent Trends</w:t>
      </w:r>
    </w:p>
    <w:p w14:paraId="63F960A9" w14:textId="77777777" w:rsidR="00B24364" w:rsidRPr="00B24364" w:rsidRDefault="00B24364" w:rsidP="00B24364">
      <w:pPr>
        <w:numPr>
          <w:ilvl w:val="0"/>
          <w:numId w:val="1"/>
        </w:numPr>
        <w:rPr>
          <w:rFonts w:ascii="Gill Sans MT" w:hAnsi="Gill Sans MT"/>
          <w:sz w:val="24"/>
          <w:szCs w:val="24"/>
        </w:rPr>
      </w:pPr>
      <w:r w:rsidRPr="00B24364">
        <w:rPr>
          <w:rFonts w:ascii="Gill Sans MT" w:hAnsi="Gill Sans MT"/>
          <w:b/>
          <w:bCs/>
          <w:sz w:val="24"/>
          <w:szCs w:val="24"/>
        </w:rPr>
        <w:t>Spot Rate (May 26, 2025):</w:t>
      </w:r>
      <w:r w:rsidRPr="00B24364">
        <w:rPr>
          <w:rFonts w:ascii="Gill Sans MT" w:hAnsi="Gill Sans MT"/>
          <w:sz w:val="24"/>
          <w:szCs w:val="24"/>
        </w:rPr>
        <w:t xml:space="preserve"> 1 USD = 11.11 GHS (mid-market).</w:t>
      </w:r>
    </w:p>
    <w:p w14:paraId="70FE3218" w14:textId="1D85EB21" w:rsidR="00B24364" w:rsidRPr="00B24364" w:rsidRDefault="00B24364" w:rsidP="00B24364">
      <w:pPr>
        <w:numPr>
          <w:ilvl w:val="0"/>
          <w:numId w:val="1"/>
        </w:numPr>
        <w:rPr>
          <w:rFonts w:ascii="Gill Sans MT" w:hAnsi="Gill Sans MT"/>
          <w:sz w:val="24"/>
          <w:szCs w:val="24"/>
        </w:rPr>
      </w:pPr>
      <w:r w:rsidRPr="00B24364">
        <w:rPr>
          <w:rFonts w:ascii="Gill Sans MT" w:hAnsi="Gill Sans MT"/>
          <w:b/>
          <w:bCs/>
          <w:sz w:val="24"/>
          <w:szCs w:val="24"/>
        </w:rPr>
        <w:t>Trend:</w:t>
      </w:r>
      <w:r w:rsidRPr="00B24364">
        <w:rPr>
          <w:rFonts w:ascii="Gill Sans MT" w:hAnsi="Gill Sans MT"/>
          <w:sz w:val="24"/>
          <w:szCs w:val="24"/>
        </w:rPr>
        <w:t xml:space="preserve"> The cedi has appreciated significantly from its weakest position of </w:t>
      </w:r>
      <w:r w:rsidR="00B760F4">
        <w:rPr>
          <w:rFonts w:ascii="Gill Sans MT" w:hAnsi="Gill Sans MT"/>
          <w:sz w:val="24"/>
          <w:szCs w:val="24"/>
        </w:rPr>
        <w:t>16</w:t>
      </w:r>
      <w:r w:rsidRPr="00B24364">
        <w:rPr>
          <w:rFonts w:ascii="Gill Sans MT" w:hAnsi="Gill Sans MT"/>
          <w:sz w:val="24"/>
          <w:szCs w:val="24"/>
        </w:rPr>
        <w:t>.</w:t>
      </w:r>
      <w:r w:rsidR="00B760F4">
        <w:rPr>
          <w:rFonts w:ascii="Gill Sans MT" w:hAnsi="Gill Sans MT"/>
          <w:sz w:val="24"/>
          <w:szCs w:val="24"/>
        </w:rPr>
        <w:t>44</w:t>
      </w:r>
      <w:r w:rsidRPr="00B24364">
        <w:rPr>
          <w:rFonts w:ascii="Gill Sans MT" w:hAnsi="Gill Sans MT"/>
          <w:sz w:val="24"/>
          <w:szCs w:val="24"/>
        </w:rPr>
        <w:t xml:space="preserve"> GHS/USD in late 2024.</w:t>
      </w:r>
    </w:p>
    <w:p w14:paraId="62D4C8D7" w14:textId="77777777" w:rsidR="00B24364" w:rsidRPr="00B24364" w:rsidRDefault="00B24364" w:rsidP="00B24364">
      <w:pPr>
        <w:numPr>
          <w:ilvl w:val="0"/>
          <w:numId w:val="1"/>
        </w:numPr>
        <w:rPr>
          <w:rFonts w:ascii="Gill Sans MT" w:hAnsi="Gill Sans MT"/>
          <w:sz w:val="24"/>
          <w:szCs w:val="24"/>
        </w:rPr>
      </w:pPr>
      <w:r w:rsidRPr="00B24364">
        <w:rPr>
          <w:rFonts w:ascii="Gill Sans MT" w:hAnsi="Gill Sans MT"/>
          <w:b/>
          <w:bCs/>
          <w:sz w:val="24"/>
          <w:szCs w:val="24"/>
        </w:rPr>
        <w:t>Performance Drivers:</w:t>
      </w:r>
    </w:p>
    <w:p w14:paraId="1829BF58" w14:textId="77777777" w:rsidR="00B24364" w:rsidRPr="00B24364" w:rsidRDefault="00B24364" w:rsidP="00B24364">
      <w:pPr>
        <w:numPr>
          <w:ilvl w:val="1"/>
          <w:numId w:val="1"/>
        </w:numPr>
        <w:rPr>
          <w:rFonts w:ascii="Gill Sans MT" w:hAnsi="Gill Sans MT"/>
          <w:sz w:val="24"/>
          <w:szCs w:val="24"/>
        </w:rPr>
      </w:pPr>
      <w:r w:rsidRPr="00B24364">
        <w:rPr>
          <w:rFonts w:ascii="Gill Sans MT" w:hAnsi="Gill Sans MT"/>
          <w:sz w:val="24"/>
          <w:szCs w:val="24"/>
        </w:rPr>
        <w:t>Debt restructuring success (including bilateral and multilateral agreements).</w:t>
      </w:r>
    </w:p>
    <w:p w14:paraId="149E4147" w14:textId="77777777" w:rsidR="00B24364" w:rsidRPr="00B24364" w:rsidRDefault="00B24364" w:rsidP="00B24364">
      <w:pPr>
        <w:numPr>
          <w:ilvl w:val="1"/>
          <w:numId w:val="1"/>
        </w:numPr>
        <w:rPr>
          <w:rFonts w:ascii="Gill Sans MT" w:hAnsi="Gill Sans MT"/>
          <w:sz w:val="24"/>
          <w:szCs w:val="24"/>
        </w:rPr>
      </w:pPr>
      <w:r w:rsidRPr="00B24364">
        <w:rPr>
          <w:rFonts w:ascii="Gill Sans MT" w:hAnsi="Gill Sans MT"/>
          <w:sz w:val="24"/>
          <w:szCs w:val="24"/>
        </w:rPr>
        <w:t>Firming commodity prices (especially gold, cocoa, and crude oil).</w:t>
      </w:r>
    </w:p>
    <w:p w14:paraId="163AFE03" w14:textId="77777777" w:rsidR="00B24364" w:rsidRPr="00B24364" w:rsidRDefault="00B24364" w:rsidP="00B24364">
      <w:pPr>
        <w:numPr>
          <w:ilvl w:val="1"/>
          <w:numId w:val="1"/>
        </w:numPr>
        <w:rPr>
          <w:rFonts w:ascii="Gill Sans MT" w:hAnsi="Gill Sans MT"/>
          <w:sz w:val="24"/>
          <w:szCs w:val="24"/>
        </w:rPr>
      </w:pPr>
      <w:r w:rsidRPr="00B24364">
        <w:rPr>
          <w:rFonts w:ascii="Gill Sans MT" w:hAnsi="Gill Sans MT"/>
          <w:sz w:val="24"/>
          <w:szCs w:val="24"/>
        </w:rPr>
        <w:t>Reduced speculative activity in forex markets.</w:t>
      </w:r>
    </w:p>
    <w:p w14:paraId="661AD184" w14:textId="5DA346BF" w:rsidR="00B24364" w:rsidRPr="00B24364" w:rsidRDefault="00B24364" w:rsidP="00B24364">
      <w:pPr>
        <w:numPr>
          <w:ilvl w:val="1"/>
          <w:numId w:val="1"/>
        </w:numPr>
        <w:rPr>
          <w:rFonts w:ascii="Gill Sans MT" w:hAnsi="Gill Sans MT"/>
          <w:sz w:val="24"/>
          <w:szCs w:val="24"/>
        </w:rPr>
      </w:pPr>
      <w:r w:rsidRPr="00B24364">
        <w:rPr>
          <w:rFonts w:ascii="Gill Sans MT" w:hAnsi="Gill Sans MT"/>
          <w:sz w:val="24"/>
          <w:szCs w:val="24"/>
        </w:rPr>
        <w:t>Central bank liquidity interventions and monetary stability.</w:t>
      </w:r>
    </w:p>
    <w:p w14:paraId="6315FAD4" w14:textId="77777777" w:rsidR="00B760F4" w:rsidRDefault="00B760F4" w:rsidP="00B24364">
      <w:pPr>
        <w:rPr>
          <w:rFonts w:ascii="Gill Sans MT" w:hAnsi="Gill Sans MT"/>
          <w:b/>
          <w:bCs/>
          <w:color w:val="0070C0"/>
          <w:sz w:val="24"/>
          <w:szCs w:val="24"/>
        </w:rPr>
      </w:pPr>
    </w:p>
    <w:p w14:paraId="68B20DD5" w14:textId="3452AF25"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lastRenderedPageBreak/>
        <w:t>Historical Exchange Rate Averages</w:t>
      </w:r>
    </w:p>
    <w:p w14:paraId="11C9A363" w14:textId="77777777" w:rsidR="00B24364" w:rsidRPr="00B24364" w:rsidRDefault="00B24364" w:rsidP="00B24364">
      <w:pPr>
        <w:numPr>
          <w:ilvl w:val="0"/>
          <w:numId w:val="2"/>
        </w:numPr>
        <w:rPr>
          <w:rFonts w:ascii="Gill Sans MT" w:hAnsi="Gill Sans MT"/>
          <w:color w:val="385623" w:themeColor="accent6" w:themeShade="80"/>
          <w:sz w:val="24"/>
          <w:szCs w:val="24"/>
        </w:rPr>
      </w:pPr>
      <w:r w:rsidRPr="00B24364">
        <w:rPr>
          <w:rFonts w:ascii="Gill Sans MT" w:hAnsi="Gill Sans MT"/>
          <w:b/>
          <w:bCs/>
          <w:color w:val="385623" w:themeColor="accent6" w:themeShade="80"/>
          <w:sz w:val="24"/>
          <w:szCs w:val="24"/>
        </w:rPr>
        <w:t>2009–2025 Average:</w:t>
      </w:r>
      <w:r w:rsidRPr="00B24364">
        <w:rPr>
          <w:rFonts w:ascii="Gill Sans MT" w:hAnsi="Gill Sans MT"/>
          <w:color w:val="385623" w:themeColor="accent6" w:themeShade="80"/>
          <w:sz w:val="24"/>
          <w:szCs w:val="24"/>
        </w:rPr>
        <w:t xml:space="preserve"> 1 USD = 5.345 GHS</w:t>
      </w:r>
    </w:p>
    <w:p w14:paraId="7F8DBBDE" w14:textId="77777777" w:rsidR="00B24364" w:rsidRPr="00B24364" w:rsidRDefault="00B24364" w:rsidP="00B24364">
      <w:pPr>
        <w:numPr>
          <w:ilvl w:val="0"/>
          <w:numId w:val="2"/>
        </w:numPr>
        <w:rPr>
          <w:rFonts w:ascii="Gill Sans MT" w:hAnsi="Gill Sans MT"/>
          <w:sz w:val="24"/>
          <w:szCs w:val="24"/>
        </w:rPr>
      </w:pPr>
      <w:r w:rsidRPr="00B24364">
        <w:rPr>
          <w:rFonts w:ascii="Gill Sans MT" w:hAnsi="Gill Sans MT"/>
          <w:b/>
          <w:bCs/>
          <w:sz w:val="24"/>
          <w:szCs w:val="24"/>
        </w:rPr>
        <w:t>2020:</w:t>
      </w:r>
      <w:r w:rsidRPr="00B24364">
        <w:rPr>
          <w:rFonts w:ascii="Gill Sans MT" w:hAnsi="Gill Sans MT"/>
          <w:sz w:val="24"/>
          <w:szCs w:val="24"/>
        </w:rPr>
        <w:t xml:space="preserve"> 5.6 GHS</w:t>
      </w:r>
    </w:p>
    <w:p w14:paraId="7B6D289C" w14:textId="77777777" w:rsidR="00B24364" w:rsidRPr="00B24364" w:rsidRDefault="00B24364" w:rsidP="00B24364">
      <w:pPr>
        <w:numPr>
          <w:ilvl w:val="0"/>
          <w:numId w:val="2"/>
        </w:numPr>
        <w:rPr>
          <w:rFonts w:ascii="Gill Sans MT" w:hAnsi="Gill Sans MT"/>
          <w:sz w:val="24"/>
          <w:szCs w:val="24"/>
        </w:rPr>
      </w:pPr>
      <w:r w:rsidRPr="00B24364">
        <w:rPr>
          <w:rFonts w:ascii="Gill Sans MT" w:hAnsi="Gill Sans MT"/>
          <w:b/>
          <w:bCs/>
          <w:sz w:val="24"/>
          <w:szCs w:val="24"/>
        </w:rPr>
        <w:t>2022:</w:t>
      </w:r>
      <w:r w:rsidRPr="00B24364">
        <w:rPr>
          <w:rFonts w:ascii="Gill Sans MT" w:hAnsi="Gill Sans MT"/>
          <w:sz w:val="24"/>
          <w:szCs w:val="24"/>
        </w:rPr>
        <w:t xml:space="preserve"> 8.4 GHS</w:t>
      </w:r>
    </w:p>
    <w:p w14:paraId="25BBD758" w14:textId="77777777" w:rsidR="00B24364" w:rsidRPr="00B24364" w:rsidRDefault="00B24364" w:rsidP="00B24364">
      <w:pPr>
        <w:numPr>
          <w:ilvl w:val="0"/>
          <w:numId w:val="2"/>
        </w:numPr>
        <w:rPr>
          <w:rFonts w:ascii="Gill Sans MT" w:hAnsi="Gill Sans MT"/>
          <w:sz w:val="24"/>
          <w:szCs w:val="24"/>
        </w:rPr>
      </w:pPr>
      <w:r w:rsidRPr="00B24364">
        <w:rPr>
          <w:rFonts w:ascii="Gill Sans MT" w:hAnsi="Gill Sans MT"/>
          <w:b/>
          <w:bCs/>
          <w:sz w:val="24"/>
          <w:szCs w:val="24"/>
        </w:rPr>
        <w:t>2023:</w:t>
      </w:r>
      <w:r w:rsidRPr="00B24364">
        <w:rPr>
          <w:rFonts w:ascii="Gill Sans MT" w:hAnsi="Gill Sans MT"/>
          <w:sz w:val="24"/>
          <w:szCs w:val="24"/>
        </w:rPr>
        <w:t xml:space="preserve"> 11.2 GHS</w:t>
      </w:r>
    </w:p>
    <w:p w14:paraId="0411DA35" w14:textId="26F346A6" w:rsidR="00B24364" w:rsidRPr="00B24364" w:rsidRDefault="00B24364" w:rsidP="00B24364">
      <w:pPr>
        <w:numPr>
          <w:ilvl w:val="0"/>
          <w:numId w:val="2"/>
        </w:numPr>
        <w:rPr>
          <w:rFonts w:ascii="Gill Sans MT" w:hAnsi="Gill Sans MT"/>
          <w:sz w:val="24"/>
          <w:szCs w:val="24"/>
        </w:rPr>
      </w:pPr>
      <w:r w:rsidRPr="00B24364">
        <w:rPr>
          <w:rFonts w:ascii="Gill Sans MT" w:hAnsi="Gill Sans MT"/>
          <w:b/>
          <w:bCs/>
          <w:sz w:val="24"/>
          <w:szCs w:val="24"/>
        </w:rPr>
        <w:t>2024:</w:t>
      </w:r>
      <w:r w:rsidRPr="00B24364">
        <w:rPr>
          <w:rFonts w:ascii="Gill Sans MT" w:hAnsi="Gill Sans MT"/>
          <w:sz w:val="24"/>
          <w:szCs w:val="24"/>
        </w:rPr>
        <w:t xml:space="preserve"> </w:t>
      </w:r>
      <w:r>
        <w:rPr>
          <w:rFonts w:ascii="Gill Sans MT" w:hAnsi="Gill Sans MT"/>
          <w:sz w:val="24"/>
          <w:szCs w:val="24"/>
        </w:rPr>
        <w:t>1</w:t>
      </w:r>
      <w:r w:rsidRPr="00B24364">
        <w:rPr>
          <w:rFonts w:ascii="Gill Sans MT" w:hAnsi="Gill Sans MT"/>
          <w:sz w:val="24"/>
          <w:szCs w:val="24"/>
        </w:rPr>
        <w:t xml:space="preserve">4.1 GHS </w:t>
      </w:r>
    </w:p>
    <w:p w14:paraId="586C092E" w14:textId="77777777" w:rsidR="008E170F" w:rsidRDefault="008E170F" w:rsidP="00B24364">
      <w:pPr>
        <w:rPr>
          <w:rFonts w:ascii="Gill Sans MT" w:hAnsi="Gill Sans MT"/>
          <w:b/>
          <w:bCs/>
          <w:color w:val="0070C0"/>
          <w:sz w:val="24"/>
          <w:szCs w:val="24"/>
        </w:rPr>
      </w:pPr>
    </w:p>
    <w:p w14:paraId="3BECE26B" w14:textId="0570EE21"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t>2. Factors Driving the Cedi's Appreciation</w:t>
      </w:r>
    </w:p>
    <w:p w14:paraId="09B7016F" w14:textId="77777777" w:rsidR="00B24364" w:rsidRPr="00B24364" w:rsidRDefault="00B24364" w:rsidP="00B24364">
      <w:pPr>
        <w:rPr>
          <w:rFonts w:ascii="Gill Sans MT" w:hAnsi="Gill Sans MT"/>
          <w:sz w:val="24"/>
          <w:szCs w:val="24"/>
        </w:rPr>
      </w:pPr>
      <w:r w:rsidRPr="00B24364">
        <w:rPr>
          <w:rFonts w:ascii="Gill Sans MT" w:hAnsi="Gill Sans MT"/>
          <w:sz w:val="24"/>
          <w:szCs w:val="24"/>
        </w:rPr>
        <w:t>The following economic and financial factors have contributed to the recent and projected appreciation of the GHS:</w:t>
      </w:r>
    </w:p>
    <w:p w14:paraId="4CBEBBA4" w14:textId="77777777" w:rsidR="00B24364" w:rsidRPr="00B24364" w:rsidRDefault="00B24364" w:rsidP="00B24364">
      <w:pPr>
        <w:rPr>
          <w:rFonts w:ascii="Gill Sans MT" w:hAnsi="Gill Sans MT"/>
          <w:b/>
          <w:bCs/>
          <w:sz w:val="24"/>
          <w:szCs w:val="24"/>
        </w:rPr>
      </w:pPr>
      <w:r w:rsidRPr="00B24364">
        <w:rPr>
          <w:rFonts w:ascii="Gill Sans MT" w:hAnsi="Gill Sans MT"/>
          <w:b/>
          <w:bCs/>
          <w:sz w:val="24"/>
          <w:szCs w:val="24"/>
        </w:rPr>
        <w:t>A. Macroeconomic Fundamentals</w:t>
      </w:r>
    </w:p>
    <w:p w14:paraId="4C3164E2" w14:textId="77777777" w:rsidR="00B24364" w:rsidRPr="00B24364" w:rsidRDefault="00B24364" w:rsidP="00B24364">
      <w:pPr>
        <w:numPr>
          <w:ilvl w:val="0"/>
          <w:numId w:val="3"/>
        </w:numPr>
        <w:rPr>
          <w:rFonts w:ascii="Gill Sans MT" w:hAnsi="Gill Sans MT"/>
          <w:sz w:val="24"/>
          <w:szCs w:val="24"/>
        </w:rPr>
      </w:pPr>
      <w:r w:rsidRPr="00B24364">
        <w:rPr>
          <w:rFonts w:ascii="Gill Sans MT" w:hAnsi="Gill Sans MT"/>
          <w:b/>
          <w:bCs/>
          <w:sz w:val="24"/>
          <w:szCs w:val="24"/>
        </w:rPr>
        <w:t>Debt Sustainability Improvements:</w:t>
      </w:r>
      <w:r w:rsidRPr="00B24364">
        <w:rPr>
          <w:rFonts w:ascii="Gill Sans MT" w:hAnsi="Gill Sans MT"/>
          <w:sz w:val="24"/>
          <w:szCs w:val="24"/>
        </w:rPr>
        <w:t xml:space="preserve"> The Government of Ghana’s successful debt restructuring, including a $5.4 billion bilateral agreement and a $3 billion IMF-supported program, has improved market confidence and fiscal space.</w:t>
      </w:r>
    </w:p>
    <w:p w14:paraId="1DF817EE" w14:textId="77777777" w:rsidR="00B24364" w:rsidRPr="00B24364" w:rsidRDefault="00B24364" w:rsidP="00B24364">
      <w:pPr>
        <w:numPr>
          <w:ilvl w:val="0"/>
          <w:numId w:val="3"/>
        </w:numPr>
        <w:rPr>
          <w:rFonts w:ascii="Gill Sans MT" w:hAnsi="Gill Sans MT"/>
          <w:sz w:val="24"/>
          <w:szCs w:val="24"/>
        </w:rPr>
      </w:pPr>
      <w:r w:rsidRPr="00B24364">
        <w:rPr>
          <w:rFonts w:ascii="Gill Sans MT" w:hAnsi="Gill Sans MT"/>
          <w:b/>
          <w:bCs/>
          <w:sz w:val="24"/>
          <w:szCs w:val="24"/>
        </w:rPr>
        <w:t>Fiscal Reforms and Consolidation:</w:t>
      </w:r>
      <w:r w:rsidRPr="00B24364">
        <w:rPr>
          <w:rFonts w:ascii="Gill Sans MT" w:hAnsi="Gill Sans MT"/>
          <w:sz w:val="24"/>
          <w:szCs w:val="24"/>
        </w:rPr>
        <w:t xml:space="preserve"> Reduction in primary deficits and enhanced revenue mobilization have improved macroeconomic indicators.</w:t>
      </w:r>
    </w:p>
    <w:p w14:paraId="51BAD988" w14:textId="77777777" w:rsidR="00B24364" w:rsidRPr="00B24364" w:rsidRDefault="00B24364" w:rsidP="00B24364">
      <w:pPr>
        <w:numPr>
          <w:ilvl w:val="0"/>
          <w:numId w:val="3"/>
        </w:numPr>
        <w:rPr>
          <w:rFonts w:ascii="Gill Sans MT" w:hAnsi="Gill Sans MT"/>
          <w:sz w:val="24"/>
          <w:szCs w:val="24"/>
        </w:rPr>
      </w:pPr>
      <w:r w:rsidRPr="00B24364">
        <w:rPr>
          <w:rFonts w:ascii="Gill Sans MT" w:hAnsi="Gill Sans MT"/>
          <w:b/>
          <w:bCs/>
          <w:sz w:val="24"/>
          <w:szCs w:val="24"/>
        </w:rPr>
        <w:t>Commodity Export Earnings:</w:t>
      </w:r>
      <w:r w:rsidRPr="00B24364">
        <w:rPr>
          <w:rFonts w:ascii="Gill Sans MT" w:hAnsi="Gill Sans MT"/>
          <w:sz w:val="24"/>
          <w:szCs w:val="24"/>
        </w:rPr>
        <w:t xml:space="preserve"> Ghana’s trade position has been supported by steady or rising prices of gold, cocoa, and oil. Notably, gold reserves increased from 22.3 to 31.2 </w:t>
      </w:r>
      <w:proofErr w:type="spellStart"/>
      <w:r w:rsidRPr="00B24364">
        <w:rPr>
          <w:rFonts w:ascii="Gill Sans MT" w:hAnsi="Gill Sans MT"/>
          <w:sz w:val="24"/>
          <w:szCs w:val="24"/>
        </w:rPr>
        <w:t>tonnes</w:t>
      </w:r>
      <w:proofErr w:type="spellEnd"/>
      <w:r w:rsidRPr="00B24364">
        <w:rPr>
          <w:rFonts w:ascii="Gill Sans MT" w:hAnsi="Gill Sans MT"/>
          <w:sz w:val="24"/>
          <w:szCs w:val="24"/>
        </w:rPr>
        <w:t xml:space="preserve"> by April 2025, boosting foreign exchange supply.</w:t>
      </w:r>
    </w:p>
    <w:p w14:paraId="0838089B" w14:textId="77777777" w:rsidR="00B24364" w:rsidRPr="00B24364" w:rsidRDefault="00B24364" w:rsidP="00B24364">
      <w:pPr>
        <w:rPr>
          <w:rFonts w:ascii="Gill Sans MT" w:hAnsi="Gill Sans MT"/>
          <w:b/>
          <w:bCs/>
          <w:sz w:val="24"/>
          <w:szCs w:val="24"/>
        </w:rPr>
      </w:pPr>
      <w:r w:rsidRPr="00B24364">
        <w:rPr>
          <w:rFonts w:ascii="Gill Sans MT" w:hAnsi="Gill Sans MT"/>
          <w:b/>
          <w:bCs/>
          <w:sz w:val="24"/>
          <w:szCs w:val="24"/>
        </w:rPr>
        <w:t>B. Monetary Policy Response</w:t>
      </w:r>
    </w:p>
    <w:p w14:paraId="68AEDFBF" w14:textId="77777777" w:rsidR="00B24364" w:rsidRPr="00B24364" w:rsidRDefault="00B24364" w:rsidP="00B24364">
      <w:pPr>
        <w:numPr>
          <w:ilvl w:val="0"/>
          <w:numId w:val="4"/>
        </w:numPr>
        <w:rPr>
          <w:rFonts w:ascii="Gill Sans MT" w:hAnsi="Gill Sans MT"/>
          <w:sz w:val="24"/>
          <w:szCs w:val="24"/>
        </w:rPr>
      </w:pPr>
      <w:r w:rsidRPr="00B24364">
        <w:rPr>
          <w:rFonts w:ascii="Gill Sans MT" w:hAnsi="Gill Sans MT"/>
          <w:b/>
          <w:bCs/>
          <w:sz w:val="24"/>
          <w:szCs w:val="24"/>
        </w:rPr>
        <w:t>Foreign Exchange Intervention:</w:t>
      </w:r>
      <w:r w:rsidRPr="00B24364">
        <w:rPr>
          <w:rFonts w:ascii="Gill Sans MT" w:hAnsi="Gill Sans MT"/>
          <w:sz w:val="24"/>
          <w:szCs w:val="24"/>
        </w:rPr>
        <w:t xml:space="preserve"> The Bank of Ghana injected over $490 million into the forex market to stabilize the cedi, alleviating short-term demand pressure.</w:t>
      </w:r>
    </w:p>
    <w:p w14:paraId="17CAA07E" w14:textId="7686B97D" w:rsidR="00B24364" w:rsidRPr="00B24364" w:rsidRDefault="00B24364" w:rsidP="00B24364">
      <w:pPr>
        <w:numPr>
          <w:ilvl w:val="0"/>
          <w:numId w:val="4"/>
        </w:numPr>
        <w:rPr>
          <w:rFonts w:ascii="Gill Sans MT" w:hAnsi="Gill Sans MT"/>
          <w:sz w:val="24"/>
          <w:szCs w:val="24"/>
        </w:rPr>
      </w:pPr>
      <w:r w:rsidRPr="00B24364">
        <w:rPr>
          <w:rFonts w:ascii="Gill Sans MT" w:hAnsi="Gill Sans MT"/>
          <w:b/>
          <w:bCs/>
          <w:sz w:val="24"/>
          <w:szCs w:val="24"/>
        </w:rPr>
        <w:t>Policy Rate Stability:</w:t>
      </w:r>
      <w:r w:rsidRPr="00B24364">
        <w:rPr>
          <w:rFonts w:ascii="Gill Sans MT" w:hAnsi="Gill Sans MT"/>
          <w:sz w:val="24"/>
          <w:szCs w:val="24"/>
        </w:rPr>
        <w:t xml:space="preserve"> The benchmark monetary policy rate has been maintained at 2</w:t>
      </w:r>
      <w:r>
        <w:rPr>
          <w:rFonts w:ascii="Gill Sans MT" w:hAnsi="Gill Sans MT"/>
          <w:sz w:val="24"/>
          <w:szCs w:val="24"/>
        </w:rPr>
        <w:t>8</w:t>
      </w:r>
      <w:r w:rsidRPr="00B24364">
        <w:rPr>
          <w:rFonts w:ascii="Gill Sans MT" w:hAnsi="Gill Sans MT"/>
          <w:sz w:val="24"/>
          <w:szCs w:val="24"/>
        </w:rPr>
        <w:t>%, reinforcing price stability and anchoring inflation expectations.</w:t>
      </w:r>
    </w:p>
    <w:p w14:paraId="634333BB" w14:textId="50867095" w:rsidR="00B24364" w:rsidRPr="00B24364" w:rsidRDefault="00B24364" w:rsidP="00B24364">
      <w:pPr>
        <w:numPr>
          <w:ilvl w:val="0"/>
          <w:numId w:val="4"/>
        </w:numPr>
        <w:rPr>
          <w:rFonts w:ascii="Gill Sans MT" w:hAnsi="Gill Sans MT"/>
          <w:sz w:val="24"/>
          <w:szCs w:val="24"/>
        </w:rPr>
      </w:pPr>
      <w:r w:rsidRPr="00B24364">
        <w:rPr>
          <w:rFonts w:ascii="Gill Sans MT" w:hAnsi="Gill Sans MT"/>
          <w:b/>
          <w:bCs/>
          <w:sz w:val="24"/>
          <w:szCs w:val="24"/>
        </w:rPr>
        <w:t>Exchange Rate Mechanism:</w:t>
      </w:r>
      <w:r w:rsidRPr="00B24364">
        <w:rPr>
          <w:rFonts w:ascii="Gill Sans MT" w:hAnsi="Gill Sans MT"/>
          <w:sz w:val="24"/>
          <w:szCs w:val="24"/>
        </w:rPr>
        <w:t xml:space="preserve"> Daily exchange rates are determined using a weighted median of interbank forex market transactions, enhancing transparency and efficiency.</w:t>
      </w:r>
    </w:p>
    <w:p w14:paraId="48A90AFC" w14:textId="77777777" w:rsidR="008E170F" w:rsidRDefault="008E170F" w:rsidP="00B24364">
      <w:pPr>
        <w:rPr>
          <w:rFonts w:ascii="Gill Sans MT" w:hAnsi="Gill Sans MT"/>
          <w:b/>
          <w:bCs/>
          <w:color w:val="0070C0"/>
          <w:sz w:val="28"/>
          <w:szCs w:val="28"/>
          <w:u w:val="single"/>
        </w:rPr>
      </w:pPr>
    </w:p>
    <w:p w14:paraId="56449ADF" w14:textId="43A91575" w:rsidR="00B24364" w:rsidRPr="00B24364" w:rsidRDefault="00B24364" w:rsidP="00B24364">
      <w:pPr>
        <w:rPr>
          <w:rFonts w:ascii="Gill Sans MT" w:hAnsi="Gill Sans MT"/>
          <w:b/>
          <w:bCs/>
          <w:color w:val="0070C0"/>
          <w:sz w:val="28"/>
          <w:szCs w:val="28"/>
          <w:u w:val="single"/>
        </w:rPr>
      </w:pPr>
      <w:r w:rsidRPr="00B24364">
        <w:rPr>
          <w:rFonts w:ascii="Gill Sans MT" w:hAnsi="Gill Sans MT"/>
          <w:b/>
          <w:bCs/>
          <w:color w:val="0070C0"/>
          <w:sz w:val="28"/>
          <w:szCs w:val="28"/>
          <w:u w:val="single"/>
        </w:rPr>
        <w:t>3. Technical and Quantitative Forecasting Indicators</w:t>
      </w:r>
    </w:p>
    <w:p w14:paraId="20F63EA5" w14:textId="77777777" w:rsidR="00B24364" w:rsidRPr="00B24364" w:rsidRDefault="00B24364" w:rsidP="00B24364">
      <w:pPr>
        <w:rPr>
          <w:rFonts w:ascii="Gill Sans MT" w:hAnsi="Gill Sans MT"/>
          <w:sz w:val="24"/>
          <w:szCs w:val="24"/>
        </w:rPr>
      </w:pPr>
      <w:proofErr w:type="spellStart"/>
      <w:r w:rsidRPr="00B24364">
        <w:rPr>
          <w:rFonts w:ascii="Gill Sans MT" w:hAnsi="Gill Sans MT"/>
          <w:sz w:val="24"/>
          <w:szCs w:val="24"/>
        </w:rPr>
        <w:t>GITFiC’s</w:t>
      </w:r>
      <w:proofErr w:type="spellEnd"/>
      <w:r w:rsidRPr="00B24364">
        <w:rPr>
          <w:rFonts w:ascii="Gill Sans MT" w:hAnsi="Gill Sans MT"/>
          <w:sz w:val="24"/>
          <w:szCs w:val="24"/>
        </w:rPr>
        <w:t xml:space="preserve"> forecasting model integrates fundamental analysis with technical indicators and econometric inputs:</w:t>
      </w:r>
    </w:p>
    <w:p w14:paraId="21CE0D6B" w14:textId="77777777" w:rsidR="00B24364" w:rsidRPr="00B24364" w:rsidRDefault="00B24364" w:rsidP="00B24364">
      <w:pPr>
        <w:rPr>
          <w:rFonts w:ascii="Gill Sans MT" w:hAnsi="Gill Sans MT"/>
          <w:b/>
          <w:bCs/>
          <w:sz w:val="24"/>
          <w:szCs w:val="24"/>
        </w:rPr>
      </w:pPr>
      <w:r w:rsidRPr="00B24364">
        <w:rPr>
          <w:rFonts w:ascii="Gill Sans MT" w:hAnsi="Gill Sans MT"/>
          <w:b/>
          <w:bCs/>
          <w:sz w:val="24"/>
          <w:szCs w:val="24"/>
        </w:rPr>
        <w:t>A. Moving Averages</w:t>
      </w:r>
    </w:p>
    <w:p w14:paraId="78E594AA" w14:textId="77777777" w:rsidR="00B24364" w:rsidRPr="00B24364" w:rsidRDefault="00B24364" w:rsidP="00B24364">
      <w:pPr>
        <w:numPr>
          <w:ilvl w:val="0"/>
          <w:numId w:val="5"/>
        </w:numPr>
        <w:rPr>
          <w:rFonts w:ascii="Gill Sans MT" w:hAnsi="Gill Sans MT"/>
          <w:sz w:val="24"/>
          <w:szCs w:val="24"/>
        </w:rPr>
      </w:pPr>
      <w:r w:rsidRPr="00B24364">
        <w:rPr>
          <w:rFonts w:ascii="Gill Sans MT" w:hAnsi="Gill Sans MT"/>
          <w:b/>
          <w:bCs/>
          <w:sz w:val="24"/>
          <w:szCs w:val="24"/>
        </w:rPr>
        <w:t>50-Day Simple Moving Average (SMA):</w:t>
      </w:r>
      <w:r w:rsidRPr="00B24364">
        <w:rPr>
          <w:rFonts w:ascii="Gill Sans MT" w:hAnsi="Gill Sans MT"/>
          <w:sz w:val="24"/>
          <w:szCs w:val="24"/>
        </w:rPr>
        <w:t xml:space="preserve"> Currently at 12.83 GHS/USD, indicating the cedi remains in a strengthening phase.</w:t>
      </w:r>
    </w:p>
    <w:p w14:paraId="1FEBDF4A" w14:textId="5A71686C" w:rsidR="00B24364" w:rsidRPr="00B24364" w:rsidRDefault="00B24364" w:rsidP="00B24364">
      <w:pPr>
        <w:numPr>
          <w:ilvl w:val="0"/>
          <w:numId w:val="5"/>
        </w:numPr>
        <w:rPr>
          <w:rFonts w:ascii="Gill Sans MT" w:hAnsi="Gill Sans MT"/>
          <w:sz w:val="24"/>
          <w:szCs w:val="24"/>
        </w:rPr>
      </w:pPr>
      <w:r w:rsidRPr="00B24364">
        <w:rPr>
          <w:rFonts w:ascii="Gill Sans MT" w:hAnsi="Gill Sans MT"/>
          <w:b/>
          <w:bCs/>
          <w:sz w:val="24"/>
          <w:szCs w:val="24"/>
        </w:rPr>
        <w:t>200-Day SMA:</w:t>
      </w:r>
      <w:r w:rsidRPr="00B24364">
        <w:rPr>
          <w:rFonts w:ascii="Gill Sans MT" w:hAnsi="Gill Sans MT"/>
          <w:sz w:val="24"/>
          <w:szCs w:val="24"/>
        </w:rPr>
        <w:t xml:space="preserve"> At 14.53 GHS/USD, showing a reversal from long-term depreciation trends.</w:t>
      </w:r>
    </w:p>
    <w:p w14:paraId="3BBCE354" w14:textId="77777777" w:rsidR="00546878" w:rsidRDefault="00546878" w:rsidP="00B24364">
      <w:pPr>
        <w:rPr>
          <w:rFonts w:ascii="Gill Sans MT" w:hAnsi="Gill Sans MT"/>
          <w:b/>
          <w:bCs/>
          <w:sz w:val="24"/>
          <w:szCs w:val="24"/>
        </w:rPr>
      </w:pPr>
    </w:p>
    <w:p w14:paraId="03004B0E" w14:textId="2B461C6A" w:rsidR="00B24364" w:rsidRPr="00B24364" w:rsidRDefault="00B24364" w:rsidP="00B24364">
      <w:pPr>
        <w:rPr>
          <w:rFonts w:ascii="Gill Sans MT" w:hAnsi="Gill Sans MT"/>
          <w:b/>
          <w:bCs/>
          <w:sz w:val="24"/>
          <w:szCs w:val="24"/>
        </w:rPr>
      </w:pPr>
      <w:r w:rsidRPr="00B24364">
        <w:rPr>
          <w:rFonts w:ascii="Gill Sans MT" w:hAnsi="Gill Sans MT"/>
          <w:b/>
          <w:bCs/>
          <w:sz w:val="24"/>
          <w:szCs w:val="24"/>
        </w:rPr>
        <w:lastRenderedPageBreak/>
        <w:t>B. Relative Strength Index (RSI)</w:t>
      </w:r>
    </w:p>
    <w:p w14:paraId="3D4C0318" w14:textId="77777777" w:rsidR="00B24364" w:rsidRPr="00B24364" w:rsidRDefault="00B24364" w:rsidP="00B24364">
      <w:pPr>
        <w:numPr>
          <w:ilvl w:val="0"/>
          <w:numId w:val="6"/>
        </w:numPr>
        <w:rPr>
          <w:rFonts w:ascii="Gill Sans MT" w:hAnsi="Gill Sans MT"/>
          <w:sz w:val="24"/>
          <w:szCs w:val="24"/>
        </w:rPr>
      </w:pPr>
      <w:r w:rsidRPr="00B24364">
        <w:rPr>
          <w:rFonts w:ascii="Gill Sans MT" w:hAnsi="Gill Sans MT"/>
          <w:b/>
          <w:bCs/>
          <w:sz w:val="24"/>
          <w:szCs w:val="24"/>
        </w:rPr>
        <w:t>14-day RSI:</w:t>
      </w:r>
      <w:r w:rsidRPr="00B24364">
        <w:rPr>
          <w:rFonts w:ascii="Gill Sans MT" w:hAnsi="Gill Sans MT"/>
          <w:sz w:val="24"/>
          <w:szCs w:val="24"/>
        </w:rPr>
        <w:t xml:space="preserve"> At 90.13, the cedi is in overbought territory, suggesting a possible short-term correction; however, long-term indicators remain positive.</w:t>
      </w:r>
    </w:p>
    <w:p w14:paraId="281F939A" w14:textId="77777777" w:rsidR="00B24364" w:rsidRPr="00B24364" w:rsidRDefault="00B24364" w:rsidP="00B24364">
      <w:pPr>
        <w:rPr>
          <w:rFonts w:ascii="Gill Sans MT" w:hAnsi="Gill Sans MT"/>
          <w:b/>
          <w:bCs/>
          <w:sz w:val="24"/>
          <w:szCs w:val="24"/>
        </w:rPr>
      </w:pPr>
      <w:r w:rsidRPr="00B24364">
        <w:rPr>
          <w:rFonts w:ascii="Gill Sans MT" w:hAnsi="Gill Sans MT"/>
          <w:b/>
          <w:bCs/>
          <w:sz w:val="24"/>
          <w:szCs w:val="24"/>
        </w:rPr>
        <w:t>C. Volatility Metrics</w:t>
      </w:r>
    </w:p>
    <w:p w14:paraId="482506CC" w14:textId="40DEC86E" w:rsidR="00B24364" w:rsidRPr="00B24364" w:rsidRDefault="00B24364" w:rsidP="00B24364">
      <w:pPr>
        <w:numPr>
          <w:ilvl w:val="0"/>
          <w:numId w:val="7"/>
        </w:numPr>
        <w:rPr>
          <w:rFonts w:ascii="Gill Sans MT" w:hAnsi="Gill Sans MT"/>
          <w:sz w:val="24"/>
          <w:szCs w:val="24"/>
        </w:rPr>
      </w:pPr>
      <w:r w:rsidRPr="00B24364">
        <w:rPr>
          <w:rFonts w:ascii="Gill Sans MT" w:hAnsi="Gill Sans MT"/>
          <w:b/>
          <w:bCs/>
          <w:sz w:val="24"/>
          <w:szCs w:val="24"/>
        </w:rPr>
        <w:t>30-Day Volatility:</w:t>
      </w:r>
      <w:r w:rsidRPr="00B24364">
        <w:rPr>
          <w:rFonts w:ascii="Gill Sans MT" w:hAnsi="Gill Sans MT"/>
          <w:sz w:val="24"/>
          <w:szCs w:val="24"/>
        </w:rPr>
        <w:t xml:space="preserve"> 6.31%, down from 7.43% in 2024. This reflects growing market confidence and reduced forex market speculation.</w:t>
      </w:r>
    </w:p>
    <w:p w14:paraId="50B655D1" w14:textId="77777777" w:rsidR="008E170F" w:rsidRDefault="008E170F" w:rsidP="00B24364">
      <w:pPr>
        <w:rPr>
          <w:rFonts w:ascii="Gill Sans MT" w:hAnsi="Gill Sans MT"/>
          <w:b/>
          <w:bCs/>
          <w:color w:val="0070C0"/>
          <w:sz w:val="24"/>
          <w:szCs w:val="24"/>
        </w:rPr>
      </w:pPr>
    </w:p>
    <w:p w14:paraId="4F829AFF" w14:textId="5CA66B38"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t xml:space="preserve">4. </w:t>
      </w:r>
      <w:r w:rsidR="00546878">
        <w:rPr>
          <w:rFonts w:ascii="Gill Sans MT" w:hAnsi="Gill Sans MT"/>
          <w:b/>
          <w:bCs/>
          <w:color w:val="0070C0"/>
          <w:sz w:val="24"/>
          <w:szCs w:val="24"/>
        </w:rPr>
        <w:t xml:space="preserve">The </w:t>
      </w:r>
      <w:r w:rsidRPr="00B24364">
        <w:rPr>
          <w:rFonts w:ascii="Gill Sans MT" w:hAnsi="Gill Sans MT"/>
          <w:b/>
          <w:bCs/>
          <w:color w:val="0070C0"/>
          <w:sz w:val="24"/>
          <w:szCs w:val="24"/>
        </w:rPr>
        <w:t>GITFiC 2025 Exchange Rate Forecast</w:t>
      </w:r>
    </w:p>
    <w:p w14:paraId="60810F23" w14:textId="77777777" w:rsidR="00B24364" w:rsidRPr="00B24364" w:rsidRDefault="00B24364" w:rsidP="00B24364">
      <w:pPr>
        <w:rPr>
          <w:rFonts w:ascii="Gill Sans MT" w:hAnsi="Gill Sans MT"/>
          <w:sz w:val="24"/>
          <w:szCs w:val="24"/>
        </w:rPr>
      </w:pPr>
      <w:r w:rsidRPr="00B24364">
        <w:rPr>
          <w:rFonts w:ascii="Gill Sans MT" w:hAnsi="Gill Sans MT"/>
          <w:b/>
          <w:bCs/>
          <w:sz w:val="24"/>
          <w:szCs w:val="24"/>
        </w:rPr>
        <w:t>Projection Summary:</w:t>
      </w:r>
    </w:p>
    <w:tbl>
      <w:tblPr>
        <w:tblStyle w:val="TableGridLight"/>
        <w:tblW w:w="0" w:type="auto"/>
        <w:tblLook w:val="04A0" w:firstRow="1" w:lastRow="0" w:firstColumn="1" w:lastColumn="0" w:noHBand="0" w:noVBand="1"/>
      </w:tblPr>
      <w:tblGrid>
        <w:gridCol w:w="2022"/>
        <w:gridCol w:w="2889"/>
        <w:gridCol w:w="2973"/>
      </w:tblGrid>
      <w:tr w:rsidR="00064FC4" w:rsidRPr="00064FC4" w14:paraId="3F80759A" w14:textId="77777777" w:rsidTr="00064FC4">
        <w:tc>
          <w:tcPr>
            <w:tcW w:w="0" w:type="auto"/>
            <w:hideMark/>
          </w:tcPr>
          <w:p w14:paraId="7C81F73E"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Period</w:t>
            </w:r>
          </w:p>
        </w:tc>
        <w:tc>
          <w:tcPr>
            <w:tcW w:w="0" w:type="auto"/>
            <w:hideMark/>
          </w:tcPr>
          <w:p w14:paraId="20F710D1"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USD/GHS Rate (Range)</w:t>
            </w:r>
          </w:p>
        </w:tc>
        <w:tc>
          <w:tcPr>
            <w:tcW w:w="0" w:type="auto"/>
            <w:hideMark/>
          </w:tcPr>
          <w:p w14:paraId="414CEF2D"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Cedi to USD Equivalent</w:t>
            </w:r>
          </w:p>
        </w:tc>
      </w:tr>
      <w:tr w:rsidR="00064FC4" w:rsidRPr="00064FC4" w14:paraId="3AA1112D" w14:textId="77777777" w:rsidTr="00064FC4">
        <w:tc>
          <w:tcPr>
            <w:tcW w:w="0" w:type="auto"/>
            <w:hideMark/>
          </w:tcPr>
          <w:p w14:paraId="3E2C7022"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Annual Average</w:t>
            </w:r>
          </w:p>
        </w:tc>
        <w:tc>
          <w:tcPr>
            <w:tcW w:w="0" w:type="auto"/>
            <w:hideMark/>
          </w:tcPr>
          <w:p w14:paraId="49D6A45D"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10.02 GHS</w:t>
            </w:r>
          </w:p>
        </w:tc>
        <w:tc>
          <w:tcPr>
            <w:tcW w:w="0" w:type="auto"/>
            <w:hideMark/>
          </w:tcPr>
          <w:p w14:paraId="4A6C5FB9"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$0.099 per GHS</w:t>
            </w:r>
          </w:p>
        </w:tc>
      </w:tr>
      <w:tr w:rsidR="00064FC4" w:rsidRPr="00064FC4" w14:paraId="065F7397" w14:textId="77777777" w:rsidTr="00064FC4">
        <w:tc>
          <w:tcPr>
            <w:tcW w:w="0" w:type="auto"/>
            <w:hideMark/>
          </w:tcPr>
          <w:p w14:paraId="501CC470"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Full Year Range</w:t>
            </w:r>
          </w:p>
        </w:tc>
        <w:tc>
          <w:tcPr>
            <w:tcW w:w="0" w:type="auto"/>
            <w:hideMark/>
          </w:tcPr>
          <w:p w14:paraId="7AA8D566"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7.09 – 13.16 GHS</w:t>
            </w:r>
          </w:p>
        </w:tc>
        <w:tc>
          <w:tcPr>
            <w:tcW w:w="0" w:type="auto"/>
            <w:hideMark/>
          </w:tcPr>
          <w:p w14:paraId="3A0FACA8" w14:textId="77777777" w:rsidR="00064FC4" w:rsidRPr="00064FC4" w:rsidRDefault="00064FC4" w:rsidP="00064FC4">
            <w:pPr>
              <w:spacing w:after="160" w:line="259" w:lineRule="auto"/>
              <w:rPr>
                <w:rFonts w:ascii="Gill Sans MT" w:hAnsi="Gill Sans MT"/>
                <w:b/>
                <w:bCs/>
                <w:color w:val="000000" w:themeColor="text1"/>
                <w:sz w:val="24"/>
                <w:szCs w:val="24"/>
              </w:rPr>
            </w:pPr>
            <w:r w:rsidRPr="00064FC4">
              <w:rPr>
                <w:rFonts w:ascii="Gill Sans MT" w:hAnsi="Gill Sans MT"/>
                <w:b/>
                <w:bCs/>
                <w:color w:val="000000" w:themeColor="text1"/>
                <w:sz w:val="24"/>
                <w:szCs w:val="24"/>
              </w:rPr>
              <w:t>$0.076 – $0.141 per GHS</w:t>
            </w:r>
          </w:p>
        </w:tc>
      </w:tr>
    </w:tbl>
    <w:p w14:paraId="65CEE965" w14:textId="77777777" w:rsidR="008E170F" w:rsidRDefault="008E170F" w:rsidP="00B24364">
      <w:pPr>
        <w:rPr>
          <w:rFonts w:ascii="Gill Sans MT" w:hAnsi="Gill Sans MT"/>
          <w:b/>
          <w:bCs/>
          <w:color w:val="EE0000"/>
          <w:sz w:val="24"/>
          <w:szCs w:val="24"/>
        </w:rPr>
      </w:pPr>
    </w:p>
    <w:p w14:paraId="331F67C7" w14:textId="33873A28" w:rsidR="00B24364" w:rsidRPr="00B24364" w:rsidRDefault="00B24364" w:rsidP="00B24364">
      <w:pPr>
        <w:rPr>
          <w:rFonts w:ascii="Gill Sans MT" w:hAnsi="Gill Sans MT"/>
          <w:b/>
          <w:bCs/>
          <w:color w:val="EE0000"/>
          <w:sz w:val="24"/>
          <w:szCs w:val="24"/>
        </w:rPr>
      </w:pPr>
      <w:r w:rsidRPr="00B24364">
        <w:rPr>
          <w:rFonts w:ascii="Gill Sans MT" w:hAnsi="Gill Sans MT"/>
          <w:b/>
          <w:bCs/>
          <w:color w:val="EE0000"/>
          <w:sz w:val="24"/>
          <w:szCs w:val="24"/>
        </w:rPr>
        <w:t>Quarterly Outlook</w:t>
      </w:r>
    </w:p>
    <w:p w14:paraId="56DD1389" w14:textId="1A275D2C" w:rsidR="00B24364" w:rsidRPr="00B24364" w:rsidRDefault="00B24364" w:rsidP="00B24364">
      <w:pPr>
        <w:numPr>
          <w:ilvl w:val="0"/>
          <w:numId w:val="8"/>
        </w:numPr>
        <w:rPr>
          <w:rFonts w:ascii="Gill Sans MT" w:hAnsi="Gill Sans MT"/>
          <w:sz w:val="24"/>
          <w:szCs w:val="24"/>
        </w:rPr>
      </w:pPr>
      <w:r w:rsidRPr="00B24364">
        <w:rPr>
          <w:rFonts w:ascii="Gill Sans MT" w:hAnsi="Gill Sans MT"/>
          <w:b/>
          <w:bCs/>
          <w:sz w:val="24"/>
          <w:szCs w:val="24"/>
        </w:rPr>
        <w:t>Q1–Q2 2025:</w:t>
      </w:r>
      <w:r w:rsidRPr="00B24364">
        <w:rPr>
          <w:rFonts w:ascii="Gill Sans MT" w:hAnsi="Gill Sans MT"/>
          <w:sz w:val="24"/>
          <w:szCs w:val="24"/>
        </w:rPr>
        <w:br/>
        <w:t xml:space="preserve">Estimated range: </w:t>
      </w:r>
      <w:r w:rsidR="008D6166">
        <w:rPr>
          <w:rFonts w:ascii="Gill Sans MT" w:hAnsi="Gill Sans MT"/>
          <w:b/>
          <w:bCs/>
          <w:sz w:val="24"/>
          <w:szCs w:val="24"/>
        </w:rPr>
        <w:t>9</w:t>
      </w:r>
      <w:r w:rsidRPr="00B24364">
        <w:rPr>
          <w:rFonts w:ascii="Gill Sans MT" w:hAnsi="Gill Sans MT"/>
          <w:b/>
          <w:bCs/>
          <w:sz w:val="24"/>
          <w:szCs w:val="24"/>
        </w:rPr>
        <w:t>.00 – 11.76 GHS/USD</w:t>
      </w:r>
      <w:r w:rsidRPr="00B24364">
        <w:rPr>
          <w:rFonts w:ascii="Gill Sans MT" w:hAnsi="Gill Sans MT"/>
          <w:sz w:val="24"/>
          <w:szCs w:val="24"/>
        </w:rPr>
        <w:br/>
        <w:t>The cedi is expected to retain resilience due to IMF disbursements, increased gold reserves, and fiscal discipline.</w:t>
      </w:r>
    </w:p>
    <w:p w14:paraId="56ED5E80" w14:textId="5F49F47B" w:rsidR="00B24364" w:rsidRPr="00B24364" w:rsidRDefault="00B24364" w:rsidP="00B24364">
      <w:pPr>
        <w:numPr>
          <w:ilvl w:val="0"/>
          <w:numId w:val="8"/>
        </w:numPr>
        <w:rPr>
          <w:rFonts w:ascii="Gill Sans MT" w:hAnsi="Gill Sans MT"/>
          <w:sz w:val="24"/>
          <w:szCs w:val="24"/>
        </w:rPr>
      </w:pPr>
      <w:r w:rsidRPr="00B24364">
        <w:rPr>
          <w:rFonts w:ascii="Gill Sans MT" w:hAnsi="Gill Sans MT"/>
          <w:b/>
          <w:bCs/>
          <w:sz w:val="24"/>
          <w:szCs w:val="24"/>
        </w:rPr>
        <w:t>Q3–Q4 2025:</w:t>
      </w:r>
      <w:r w:rsidRPr="00B24364">
        <w:rPr>
          <w:rFonts w:ascii="Gill Sans MT" w:hAnsi="Gill Sans MT"/>
          <w:sz w:val="24"/>
          <w:szCs w:val="24"/>
        </w:rPr>
        <w:br/>
        <w:t xml:space="preserve">Estimated range: </w:t>
      </w:r>
      <w:r w:rsidRPr="00B24364">
        <w:rPr>
          <w:rFonts w:ascii="Gill Sans MT" w:hAnsi="Gill Sans MT"/>
          <w:b/>
          <w:bCs/>
          <w:sz w:val="24"/>
          <w:szCs w:val="24"/>
        </w:rPr>
        <w:t>7.09 – 10.50 GHS/USD</w:t>
      </w:r>
      <w:r w:rsidRPr="00B24364">
        <w:rPr>
          <w:rFonts w:ascii="Gill Sans MT" w:hAnsi="Gill Sans MT"/>
          <w:sz w:val="24"/>
          <w:szCs w:val="24"/>
        </w:rPr>
        <w:br/>
        <w:t>Continued reforms and commodity earnings could drive further appreciation, but risks remain from global monetary tightening and seasonal import pressures.</w:t>
      </w:r>
    </w:p>
    <w:p w14:paraId="6DBE412D" w14:textId="77777777" w:rsidR="008E170F" w:rsidRDefault="008E170F" w:rsidP="00B24364">
      <w:pPr>
        <w:rPr>
          <w:rFonts w:ascii="Gill Sans MT" w:hAnsi="Gill Sans MT"/>
          <w:b/>
          <w:bCs/>
          <w:color w:val="0070C0"/>
          <w:sz w:val="24"/>
          <w:szCs w:val="24"/>
        </w:rPr>
      </w:pPr>
    </w:p>
    <w:p w14:paraId="4D48359B" w14:textId="7E0700FF" w:rsidR="00B24364" w:rsidRPr="00B24364" w:rsidRDefault="00B24364" w:rsidP="00B24364">
      <w:pPr>
        <w:rPr>
          <w:rFonts w:ascii="Gill Sans MT" w:hAnsi="Gill Sans MT"/>
          <w:b/>
          <w:bCs/>
          <w:color w:val="0070C0"/>
          <w:sz w:val="24"/>
          <w:szCs w:val="24"/>
        </w:rPr>
      </w:pPr>
      <w:r w:rsidRPr="00B24364">
        <w:rPr>
          <w:rFonts w:ascii="Gill Sans MT" w:hAnsi="Gill Sans MT"/>
          <w:b/>
          <w:bCs/>
          <w:color w:val="0070C0"/>
          <w:sz w:val="24"/>
          <w:szCs w:val="24"/>
        </w:rPr>
        <w:t>5. Risks and Volatility Factors</w:t>
      </w:r>
    </w:p>
    <w:p w14:paraId="663D5D9D" w14:textId="77777777" w:rsidR="00B24364" w:rsidRPr="00B24364" w:rsidRDefault="00B24364" w:rsidP="00B24364">
      <w:pPr>
        <w:rPr>
          <w:rFonts w:ascii="Gill Sans MT" w:hAnsi="Gill Sans MT"/>
          <w:sz w:val="24"/>
          <w:szCs w:val="24"/>
        </w:rPr>
      </w:pPr>
      <w:r w:rsidRPr="00B24364">
        <w:rPr>
          <w:rFonts w:ascii="Gill Sans MT" w:hAnsi="Gill Sans MT"/>
          <w:sz w:val="24"/>
          <w:szCs w:val="24"/>
        </w:rPr>
        <w:t>Despite the cedi's bullish momentum, the following risks could introduce volatility:</w:t>
      </w:r>
    </w:p>
    <w:p w14:paraId="5B3D4CDD" w14:textId="77777777" w:rsidR="00B24364" w:rsidRPr="00B5109C" w:rsidRDefault="00B24364" w:rsidP="00B5109C">
      <w:pPr>
        <w:pStyle w:val="ListParagraph"/>
        <w:numPr>
          <w:ilvl w:val="0"/>
          <w:numId w:val="24"/>
        </w:numPr>
        <w:rPr>
          <w:rFonts w:ascii="Gill Sans MT" w:hAnsi="Gill Sans MT"/>
          <w:sz w:val="24"/>
          <w:szCs w:val="24"/>
        </w:rPr>
      </w:pPr>
      <w:r w:rsidRPr="00B5109C">
        <w:rPr>
          <w:rFonts w:ascii="Gill Sans MT" w:hAnsi="Gill Sans MT"/>
          <w:b/>
          <w:bCs/>
          <w:sz w:val="24"/>
          <w:szCs w:val="24"/>
        </w:rPr>
        <w:t>Import Demand Pressure:</w:t>
      </w:r>
      <w:r w:rsidRPr="00B5109C">
        <w:rPr>
          <w:rFonts w:ascii="Gill Sans MT" w:hAnsi="Gill Sans MT"/>
          <w:sz w:val="24"/>
          <w:szCs w:val="24"/>
        </w:rPr>
        <w:t xml:space="preserve"> High domestic import requirements, especially for refined petroleum, machinery, and food, may exert pressure on the cedi.</w:t>
      </w:r>
    </w:p>
    <w:p w14:paraId="59BAABA7" w14:textId="77777777" w:rsidR="00B24364" w:rsidRPr="00B5109C" w:rsidRDefault="00B24364" w:rsidP="00B5109C">
      <w:pPr>
        <w:pStyle w:val="ListParagraph"/>
        <w:numPr>
          <w:ilvl w:val="0"/>
          <w:numId w:val="24"/>
        </w:numPr>
        <w:rPr>
          <w:rFonts w:ascii="Gill Sans MT" w:hAnsi="Gill Sans MT"/>
          <w:sz w:val="24"/>
          <w:szCs w:val="24"/>
        </w:rPr>
      </w:pPr>
      <w:r w:rsidRPr="00B5109C">
        <w:rPr>
          <w:rFonts w:ascii="Gill Sans MT" w:hAnsi="Gill Sans MT"/>
          <w:b/>
          <w:bCs/>
          <w:sz w:val="24"/>
          <w:szCs w:val="24"/>
        </w:rPr>
        <w:t>Inflation:</w:t>
      </w:r>
      <w:r w:rsidRPr="00B5109C">
        <w:rPr>
          <w:rFonts w:ascii="Gill Sans MT" w:hAnsi="Gill Sans MT"/>
          <w:sz w:val="24"/>
          <w:szCs w:val="24"/>
        </w:rPr>
        <w:t xml:space="preserve"> Although headline inflation has moderated from the peak, persistent core inflation above 20% could limit monetary policy flexibility.</w:t>
      </w:r>
    </w:p>
    <w:p w14:paraId="6957F8B0" w14:textId="77777777" w:rsidR="00B24364" w:rsidRPr="00B5109C" w:rsidRDefault="00B24364" w:rsidP="00B5109C">
      <w:pPr>
        <w:pStyle w:val="ListParagraph"/>
        <w:numPr>
          <w:ilvl w:val="0"/>
          <w:numId w:val="24"/>
        </w:numPr>
        <w:rPr>
          <w:rFonts w:ascii="Gill Sans MT" w:hAnsi="Gill Sans MT"/>
          <w:sz w:val="24"/>
          <w:szCs w:val="24"/>
        </w:rPr>
      </w:pPr>
      <w:r w:rsidRPr="00B5109C">
        <w:rPr>
          <w:rFonts w:ascii="Gill Sans MT" w:hAnsi="Gill Sans MT"/>
          <w:b/>
          <w:bCs/>
          <w:sz w:val="24"/>
          <w:szCs w:val="24"/>
        </w:rPr>
        <w:t>Global Monetary Conditions:</w:t>
      </w:r>
      <w:r w:rsidRPr="00B5109C">
        <w:rPr>
          <w:rFonts w:ascii="Gill Sans MT" w:hAnsi="Gill Sans MT"/>
          <w:sz w:val="24"/>
          <w:szCs w:val="24"/>
        </w:rPr>
        <w:t xml:space="preserve"> Potential delays in rate cuts by the U.S. Federal Reserve may strengthen the USD globally, reversing some gains for emerging market currencies.</w:t>
      </w:r>
    </w:p>
    <w:p w14:paraId="6EEC5BAA" w14:textId="77777777" w:rsidR="00B24364" w:rsidRPr="00B5109C" w:rsidRDefault="00B24364" w:rsidP="00B5109C">
      <w:pPr>
        <w:pStyle w:val="ListParagraph"/>
        <w:numPr>
          <w:ilvl w:val="0"/>
          <w:numId w:val="24"/>
        </w:numPr>
        <w:rPr>
          <w:rFonts w:ascii="Gill Sans MT" w:hAnsi="Gill Sans MT"/>
          <w:sz w:val="24"/>
          <w:szCs w:val="24"/>
        </w:rPr>
      </w:pPr>
      <w:r w:rsidRPr="00B5109C">
        <w:rPr>
          <w:rFonts w:ascii="Gill Sans MT" w:hAnsi="Gill Sans MT"/>
          <w:b/>
          <w:bCs/>
          <w:sz w:val="24"/>
          <w:szCs w:val="24"/>
        </w:rPr>
        <w:t>External Sector Shocks:</w:t>
      </w:r>
      <w:r w:rsidRPr="00B5109C">
        <w:rPr>
          <w:rFonts w:ascii="Gill Sans MT" w:hAnsi="Gill Sans MT"/>
          <w:sz w:val="24"/>
          <w:szCs w:val="24"/>
        </w:rPr>
        <w:t xml:space="preserve"> Commodity price fluctuations or geopolitical tensions may impact Ghana’s trade and capital inflows.</w:t>
      </w:r>
    </w:p>
    <w:p w14:paraId="7C857FE4" w14:textId="77777777" w:rsidR="00B24364" w:rsidRPr="00B5109C" w:rsidRDefault="00B24364" w:rsidP="00B5109C">
      <w:pPr>
        <w:pStyle w:val="ListParagraph"/>
        <w:numPr>
          <w:ilvl w:val="0"/>
          <w:numId w:val="24"/>
        </w:numPr>
        <w:rPr>
          <w:rFonts w:ascii="Gill Sans MT" w:hAnsi="Gill Sans MT"/>
          <w:sz w:val="24"/>
          <w:szCs w:val="24"/>
        </w:rPr>
      </w:pPr>
      <w:r w:rsidRPr="00B5109C">
        <w:rPr>
          <w:rFonts w:ascii="Gill Sans MT" w:hAnsi="Gill Sans MT"/>
          <w:b/>
          <w:bCs/>
          <w:sz w:val="24"/>
          <w:szCs w:val="24"/>
        </w:rPr>
        <w:t>Political Stability and Reforms:</w:t>
      </w:r>
      <w:r w:rsidRPr="00B5109C">
        <w:rPr>
          <w:rFonts w:ascii="Gill Sans MT" w:hAnsi="Gill Sans MT"/>
          <w:sz w:val="24"/>
          <w:szCs w:val="24"/>
        </w:rPr>
        <w:t xml:space="preserve"> Post-election implementation of fiscal and structural reforms will be critical to sustaining macroeconomic stability.</w:t>
      </w:r>
    </w:p>
    <w:p w14:paraId="288846D7" w14:textId="6B4F2618" w:rsidR="00B24364" w:rsidRPr="00B24364" w:rsidRDefault="00B24364" w:rsidP="00B24364">
      <w:pPr>
        <w:rPr>
          <w:rFonts w:ascii="Gill Sans MT" w:hAnsi="Gill Sans MT"/>
          <w:sz w:val="24"/>
          <w:szCs w:val="24"/>
        </w:rPr>
      </w:pPr>
    </w:p>
    <w:p w14:paraId="7E0B4B89" w14:textId="77777777" w:rsidR="008E170F" w:rsidRDefault="008E170F" w:rsidP="00B24364">
      <w:pPr>
        <w:rPr>
          <w:rFonts w:ascii="Gill Sans MT" w:hAnsi="Gill Sans MT"/>
          <w:b/>
          <w:bCs/>
          <w:color w:val="0070C0"/>
          <w:sz w:val="28"/>
          <w:szCs w:val="28"/>
          <w:u w:val="single"/>
        </w:rPr>
      </w:pPr>
    </w:p>
    <w:p w14:paraId="0F126712" w14:textId="6016EF3F" w:rsidR="00B24364" w:rsidRPr="00B24364" w:rsidRDefault="00B24364" w:rsidP="00B24364">
      <w:pPr>
        <w:rPr>
          <w:rFonts w:ascii="Gill Sans MT" w:hAnsi="Gill Sans MT"/>
          <w:b/>
          <w:bCs/>
          <w:color w:val="0070C0"/>
          <w:sz w:val="28"/>
          <w:szCs w:val="28"/>
          <w:u w:val="single"/>
        </w:rPr>
      </w:pPr>
      <w:r w:rsidRPr="00B24364">
        <w:rPr>
          <w:rFonts w:ascii="Gill Sans MT" w:hAnsi="Gill Sans MT"/>
          <w:b/>
          <w:bCs/>
          <w:color w:val="0070C0"/>
          <w:sz w:val="28"/>
          <w:szCs w:val="28"/>
          <w:u w:val="single"/>
        </w:rPr>
        <w:lastRenderedPageBreak/>
        <w:t xml:space="preserve">6. </w:t>
      </w:r>
      <w:r w:rsidR="00546878">
        <w:rPr>
          <w:rFonts w:ascii="Gill Sans MT" w:hAnsi="Gill Sans MT"/>
          <w:b/>
          <w:bCs/>
          <w:color w:val="0070C0"/>
          <w:sz w:val="28"/>
          <w:szCs w:val="28"/>
          <w:u w:val="single"/>
        </w:rPr>
        <w:t xml:space="preserve">The GITFiC </w:t>
      </w:r>
      <w:r w:rsidRPr="00B24364">
        <w:rPr>
          <w:rFonts w:ascii="Gill Sans MT" w:hAnsi="Gill Sans MT"/>
          <w:b/>
          <w:bCs/>
          <w:color w:val="0070C0"/>
          <w:sz w:val="28"/>
          <w:szCs w:val="28"/>
          <w:u w:val="single"/>
        </w:rPr>
        <w:t>Recommendations for Stakeholders</w:t>
      </w:r>
    </w:p>
    <w:p w14:paraId="5008E385" w14:textId="77777777" w:rsidR="00B24364" w:rsidRPr="00B24364" w:rsidRDefault="00B24364" w:rsidP="00B24364">
      <w:pPr>
        <w:numPr>
          <w:ilvl w:val="0"/>
          <w:numId w:val="10"/>
        </w:numPr>
        <w:rPr>
          <w:rFonts w:ascii="Gill Sans MT" w:hAnsi="Gill Sans MT"/>
          <w:sz w:val="24"/>
          <w:szCs w:val="24"/>
        </w:rPr>
      </w:pPr>
      <w:r w:rsidRPr="00B24364">
        <w:rPr>
          <w:rFonts w:ascii="Gill Sans MT" w:hAnsi="Gill Sans MT"/>
          <w:b/>
          <w:bCs/>
          <w:sz w:val="24"/>
          <w:szCs w:val="24"/>
        </w:rPr>
        <w:t>Policymakers:</w:t>
      </w:r>
      <w:r w:rsidRPr="00B24364">
        <w:rPr>
          <w:rFonts w:ascii="Gill Sans MT" w:hAnsi="Gill Sans MT"/>
          <w:sz w:val="24"/>
          <w:szCs w:val="24"/>
        </w:rPr>
        <w:t xml:space="preserve"> Should prioritize structural reforms, domestic revenue mobilization, and diversification of export base to reduce cedi vulnerability.</w:t>
      </w:r>
    </w:p>
    <w:p w14:paraId="000D5830" w14:textId="77777777" w:rsidR="00B24364" w:rsidRPr="00B24364" w:rsidRDefault="00B24364" w:rsidP="00B24364">
      <w:pPr>
        <w:numPr>
          <w:ilvl w:val="0"/>
          <w:numId w:val="10"/>
        </w:numPr>
        <w:rPr>
          <w:rFonts w:ascii="Gill Sans MT" w:hAnsi="Gill Sans MT"/>
          <w:sz w:val="24"/>
          <w:szCs w:val="24"/>
        </w:rPr>
      </w:pPr>
      <w:r w:rsidRPr="00B24364">
        <w:rPr>
          <w:rFonts w:ascii="Gill Sans MT" w:hAnsi="Gill Sans MT"/>
          <w:b/>
          <w:bCs/>
          <w:sz w:val="24"/>
          <w:szCs w:val="24"/>
        </w:rPr>
        <w:t>Businesses:</w:t>
      </w:r>
      <w:r w:rsidRPr="00B24364">
        <w:rPr>
          <w:rFonts w:ascii="Gill Sans MT" w:hAnsi="Gill Sans MT"/>
          <w:sz w:val="24"/>
          <w:szCs w:val="24"/>
        </w:rPr>
        <w:t xml:space="preserve"> Must adopt hedging strategies against currency risks, particularly those with high foreign exchange exposure.</w:t>
      </w:r>
    </w:p>
    <w:p w14:paraId="1AFCC803" w14:textId="77777777" w:rsidR="00B24364" w:rsidRPr="00B24364" w:rsidRDefault="00B24364" w:rsidP="00B24364">
      <w:pPr>
        <w:numPr>
          <w:ilvl w:val="0"/>
          <w:numId w:val="10"/>
        </w:numPr>
        <w:rPr>
          <w:rFonts w:ascii="Gill Sans MT" w:hAnsi="Gill Sans MT"/>
          <w:sz w:val="24"/>
          <w:szCs w:val="24"/>
        </w:rPr>
      </w:pPr>
      <w:r w:rsidRPr="00B24364">
        <w:rPr>
          <w:rFonts w:ascii="Gill Sans MT" w:hAnsi="Gill Sans MT"/>
          <w:b/>
          <w:bCs/>
          <w:sz w:val="24"/>
          <w:szCs w:val="24"/>
        </w:rPr>
        <w:t>Investors:</w:t>
      </w:r>
      <w:r w:rsidRPr="00B24364">
        <w:rPr>
          <w:rFonts w:ascii="Gill Sans MT" w:hAnsi="Gill Sans MT"/>
          <w:sz w:val="24"/>
          <w:szCs w:val="24"/>
        </w:rPr>
        <w:t xml:space="preserve"> Should consider medium- to long-term opportunities in GHS-denominated assets, especially in government bonds and real sectors aligned with export expansion.</w:t>
      </w:r>
    </w:p>
    <w:p w14:paraId="6B4F68BD" w14:textId="2D549904" w:rsidR="00B24364" w:rsidRPr="00B24364" w:rsidRDefault="00B24364" w:rsidP="00B24364">
      <w:pPr>
        <w:numPr>
          <w:ilvl w:val="0"/>
          <w:numId w:val="10"/>
        </w:numPr>
        <w:rPr>
          <w:rFonts w:ascii="Gill Sans MT" w:hAnsi="Gill Sans MT"/>
          <w:sz w:val="24"/>
          <w:szCs w:val="24"/>
        </w:rPr>
      </w:pPr>
      <w:r w:rsidRPr="00B24364">
        <w:rPr>
          <w:rFonts w:ascii="Gill Sans MT" w:hAnsi="Gill Sans MT"/>
          <w:b/>
          <w:bCs/>
          <w:sz w:val="24"/>
          <w:szCs w:val="24"/>
        </w:rPr>
        <w:t>Development Partners:</w:t>
      </w:r>
      <w:r w:rsidRPr="00B24364">
        <w:rPr>
          <w:rFonts w:ascii="Gill Sans MT" w:hAnsi="Gill Sans MT"/>
          <w:sz w:val="24"/>
          <w:szCs w:val="24"/>
        </w:rPr>
        <w:t xml:space="preserve"> Must continue technical and financial support for Ghana’s reform agenda, with a focus on debt sustainability and inclusive growth.</w:t>
      </w:r>
    </w:p>
    <w:p w14:paraId="3356683E" w14:textId="77777777" w:rsidR="008E170F" w:rsidRDefault="008E170F" w:rsidP="00B24364">
      <w:pPr>
        <w:rPr>
          <w:rFonts w:ascii="Gill Sans MT" w:hAnsi="Gill Sans MT"/>
          <w:b/>
          <w:bCs/>
          <w:color w:val="0070C0"/>
          <w:sz w:val="28"/>
          <w:szCs w:val="28"/>
        </w:rPr>
      </w:pPr>
    </w:p>
    <w:p w14:paraId="60721C0F" w14:textId="125DCB8C" w:rsidR="00B24364" w:rsidRPr="00B24364" w:rsidRDefault="00B24364" w:rsidP="00B24364">
      <w:pPr>
        <w:rPr>
          <w:rFonts w:ascii="Gill Sans MT" w:hAnsi="Gill Sans MT"/>
          <w:b/>
          <w:bCs/>
          <w:color w:val="0070C0"/>
          <w:sz w:val="28"/>
          <w:szCs w:val="28"/>
        </w:rPr>
      </w:pPr>
      <w:r w:rsidRPr="00B24364">
        <w:rPr>
          <w:rFonts w:ascii="Gill Sans MT" w:hAnsi="Gill Sans MT"/>
          <w:b/>
          <w:bCs/>
          <w:color w:val="0070C0"/>
          <w:sz w:val="28"/>
          <w:szCs w:val="28"/>
        </w:rPr>
        <w:t>Conclusion</w:t>
      </w:r>
    </w:p>
    <w:p w14:paraId="14AB5FF7" w14:textId="77777777" w:rsidR="00B24364" w:rsidRPr="00B24364" w:rsidRDefault="00B24364" w:rsidP="00B24364">
      <w:pPr>
        <w:rPr>
          <w:rFonts w:ascii="Gill Sans MT" w:hAnsi="Gill Sans MT"/>
          <w:sz w:val="24"/>
          <w:szCs w:val="24"/>
        </w:rPr>
      </w:pPr>
      <w:proofErr w:type="spellStart"/>
      <w:r w:rsidRPr="00B24364">
        <w:rPr>
          <w:rFonts w:ascii="Gill Sans MT" w:hAnsi="Gill Sans MT"/>
          <w:sz w:val="24"/>
          <w:szCs w:val="24"/>
        </w:rPr>
        <w:t>GITFiC’s</w:t>
      </w:r>
      <w:proofErr w:type="spellEnd"/>
      <w:r w:rsidRPr="00B24364">
        <w:rPr>
          <w:rFonts w:ascii="Gill Sans MT" w:hAnsi="Gill Sans MT"/>
          <w:sz w:val="24"/>
          <w:szCs w:val="24"/>
        </w:rPr>
        <w:t xml:space="preserve"> analysis suggests that the Ghanaian Cedi will continue its trajectory of recovery in 2025, supported by robust macroeconomic and technical indicators. While short-term corrections are possible due to market dynamics, the overall outlook is one of cautious optimism. Strategic policy implementation and external stability will be essential to maintaining the cedi’s strength throughout the year.</w:t>
      </w:r>
    </w:p>
    <w:p w14:paraId="684DFD4B" w14:textId="77777777" w:rsidR="00B5109C" w:rsidRDefault="00B5109C">
      <w:pPr>
        <w:rPr>
          <w:rFonts w:ascii="Gill Sans MT" w:hAnsi="Gill Sans MT"/>
          <w:sz w:val="24"/>
          <w:szCs w:val="24"/>
        </w:rPr>
      </w:pPr>
    </w:p>
    <w:p w14:paraId="5EF4910A" w14:textId="01562AB5" w:rsidR="008D6166" w:rsidRDefault="008D6166" w:rsidP="008D6166">
      <w:pPr>
        <w:spacing w:after="0"/>
        <w:rPr>
          <w:rFonts w:ascii="Gill Sans MT" w:hAnsi="Gill Sans MT"/>
          <w:b/>
          <w:bCs/>
          <w:sz w:val="24"/>
          <w:szCs w:val="24"/>
        </w:rPr>
      </w:pPr>
      <w:r>
        <w:rPr>
          <w:rFonts w:ascii="Gill Sans MT" w:hAnsi="Gill Sans MT"/>
          <w:b/>
          <w:bCs/>
          <w:sz w:val="24"/>
          <w:szCs w:val="24"/>
        </w:rPr>
        <w:t>Isaac Osei Owusu</w:t>
      </w:r>
      <w:r w:rsidRPr="008D6166">
        <w:rPr>
          <w:rFonts w:ascii="Gill Sans MT" w:hAnsi="Gill Sans MT"/>
          <w:sz w:val="24"/>
          <w:szCs w:val="24"/>
        </w:rPr>
        <w:br/>
      </w:r>
      <w:r>
        <w:rPr>
          <w:rFonts w:ascii="Gill Sans MT" w:hAnsi="Gill Sans MT"/>
          <w:b/>
          <w:bCs/>
          <w:sz w:val="24"/>
          <w:szCs w:val="24"/>
        </w:rPr>
        <w:t xml:space="preserve">Lead Analyst, </w:t>
      </w:r>
      <w:r w:rsidRPr="008D6166">
        <w:rPr>
          <w:rFonts w:ascii="Gill Sans MT" w:hAnsi="Gill Sans MT"/>
          <w:b/>
          <w:bCs/>
          <w:sz w:val="24"/>
          <w:szCs w:val="24"/>
        </w:rPr>
        <w:t xml:space="preserve">Research, </w:t>
      </w:r>
      <w:r>
        <w:rPr>
          <w:rFonts w:ascii="Gill Sans MT" w:hAnsi="Gill Sans MT"/>
          <w:b/>
          <w:bCs/>
          <w:sz w:val="24"/>
          <w:szCs w:val="24"/>
        </w:rPr>
        <w:t xml:space="preserve">Advocacy and Policy </w:t>
      </w:r>
    </w:p>
    <w:p w14:paraId="1C800FB2" w14:textId="77777777" w:rsidR="008D6166" w:rsidRDefault="008D6166" w:rsidP="008D6166">
      <w:pPr>
        <w:spacing w:after="0"/>
        <w:rPr>
          <w:rFonts w:ascii="Gill Sans MT" w:hAnsi="Gill Sans MT"/>
          <w:b/>
          <w:bCs/>
          <w:sz w:val="24"/>
          <w:szCs w:val="24"/>
        </w:rPr>
      </w:pPr>
    </w:p>
    <w:p w14:paraId="1C8A6C20" w14:textId="77777777" w:rsidR="007C700E" w:rsidRDefault="007C700E" w:rsidP="008E170F">
      <w:pPr>
        <w:spacing w:after="0"/>
        <w:rPr>
          <w:rFonts w:ascii="Gill Sans MT" w:hAnsi="Gill Sans MT"/>
          <w:b/>
          <w:bCs/>
          <w:color w:val="0070C0"/>
          <w:sz w:val="28"/>
          <w:szCs w:val="28"/>
          <w:u w:val="single"/>
        </w:rPr>
      </w:pPr>
    </w:p>
    <w:p w14:paraId="37156D1A" w14:textId="61B10A70" w:rsidR="007C700E" w:rsidRDefault="007C700E" w:rsidP="00B5109C">
      <w:pPr>
        <w:spacing w:after="0"/>
        <w:jc w:val="center"/>
        <w:rPr>
          <w:rFonts w:ascii="Gill Sans MT" w:hAnsi="Gill Sans MT"/>
          <w:b/>
          <w:bCs/>
          <w:color w:val="0070C0"/>
          <w:sz w:val="28"/>
          <w:szCs w:val="28"/>
          <w:u w:val="single"/>
        </w:rPr>
      </w:pPr>
    </w:p>
    <w:p w14:paraId="5FEA5CBA" w14:textId="77777777" w:rsidR="00546878" w:rsidRDefault="00546878" w:rsidP="00B5109C">
      <w:pPr>
        <w:spacing w:after="0"/>
        <w:jc w:val="center"/>
        <w:rPr>
          <w:rFonts w:ascii="Gill Sans MT" w:hAnsi="Gill Sans MT"/>
          <w:b/>
          <w:bCs/>
          <w:color w:val="0070C0"/>
          <w:sz w:val="28"/>
          <w:szCs w:val="28"/>
          <w:u w:val="single"/>
        </w:rPr>
      </w:pPr>
    </w:p>
    <w:p w14:paraId="5634AF9A" w14:textId="0562B70F" w:rsidR="008D6166" w:rsidRPr="008D6166" w:rsidRDefault="008D6166" w:rsidP="00B5109C">
      <w:pPr>
        <w:spacing w:after="0"/>
        <w:jc w:val="center"/>
        <w:rPr>
          <w:rFonts w:ascii="Gill Sans MT" w:hAnsi="Gill Sans MT"/>
          <w:b/>
          <w:bCs/>
          <w:color w:val="0070C0"/>
          <w:sz w:val="24"/>
          <w:szCs w:val="24"/>
          <w:u w:val="single"/>
        </w:rPr>
      </w:pPr>
      <w:r w:rsidRPr="008D6166">
        <w:rPr>
          <w:rFonts w:ascii="Gill Sans MT" w:hAnsi="Gill Sans MT"/>
          <w:b/>
          <w:bCs/>
          <w:color w:val="0070C0"/>
          <w:sz w:val="28"/>
          <w:szCs w:val="28"/>
          <w:u w:val="single"/>
        </w:rPr>
        <w:t>Key Indicators Used in the USD/GHS Projection</w:t>
      </w:r>
    </w:p>
    <w:p w14:paraId="3E418A4D" w14:textId="77777777" w:rsidR="008D6166" w:rsidRPr="008D6166" w:rsidRDefault="008D6166" w:rsidP="008D6166">
      <w:pPr>
        <w:spacing w:after="0"/>
        <w:rPr>
          <w:rFonts w:ascii="Gill Sans MT" w:hAnsi="Gill Sans MT"/>
          <w:b/>
          <w:bCs/>
          <w:color w:val="0070C0"/>
          <w:sz w:val="24"/>
          <w:szCs w:val="24"/>
        </w:rPr>
      </w:pPr>
      <w:r w:rsidRPr="008D6166">
        <w:rPr>
          <w:rFonts w:ascii="Gill Sans MT" w:hAnsi="Gill Sans MT"/>
          <w:b/>
          <w:bCs/>
          <w:color w:val="0070C0"/>
          <w:sz w:val="24"/>
          <w:szCs w:val="24"/>
        </w:rPr>
        <w:t>1. Fundamental Economic Indicators</w:t>
      </w:r>
    </w:p>
    <w:p w14:paraId="73638044" w14:textId="77777777" w:rsidR="008D6166" w:rsidRPr="008D6166" w:rsidRDefault="008D6166" w:rsidP="008D6166">
      <w:pPr>
        <w:spacing w:after="0"/>
        <w:rPr>
          <w:rFonts w:ascii="Gill Sans MT" w:hAnsi="Gill Sans MT"/>
          <w:sz w:val="24"/>
          <w:szCs w:val="24"/>
        </w:rPr>
      </w:pPr>
      <w:r w:rsidRPr="008D6166">
        <w:rPr>
          <w:rFonts w:ascii="Gill Sans MT" w:hAnsi="Gill Sans MT"/>
          <w:sz w:val="24"/>
          <w:szCs w:val="24"/>
        </w:rPr>
        <w:t>These provide insight into the real economy and its effect on exchange rate movements.</w:t>
      </w:r>
    </w:p>
    <w:p w14:paraId="4B3C97CE"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A. Debt Sustainability</w:t>
      </w:r>
    </w:p>
    <w:p w14:paraId="6E989146" w14:textId="77777777" w:rsidR="008D6166" w:rsidRPr="008D6166" w:rsidRDefault="008D6166" w:rsidP="008D6166">
      <w:pPr>
        <w:numPr>
          <w:ilvl w:val="0"/>
          <w:numId w:val="11"/>
        </w:numPr>
        <w:spacing w:after="0"/>
        <w:rPr>
          <w:rFonts w:ascii="Gill Sans MT" w:hAnsi="Gill Sans MT"/>
          <w:sz w:val="24"/>
          <w:szCs w:val="24"/>
        </w:rPr>
      </w:pPr>
      <w:r w:rsidRPr="008D6166">
        <w:rPr>
          <w:rFonts w:ascii="Gill Sans MT" w:hAnsi="Gill Sans MT"/>
          <w:sz w:val="24"/>
          <w:szCs w:val="24"/>
        </w:rPr>
        <w:t>Ghana's successful debt restructuring—including a $5.4 billion bilateral deal and a $3 billion IMF program—restored investor confidence and improved fiscal space.</w:t>
      </w:r>
    </w:p>
    <w:p w14:paraId="6E0A29A8" w14:textId="77777777" w:rsidR="008D6166" w:rsidRDefault="008D6166" w:rsidP="008D6166">
      <w:pPr>
        <w:numPr>
          <w:ilvl w:val="0"/>
          <w:numId w:val="11"/>
        </w:numPr>
        <w:spacing w:after="0"/>
        <w:rPr>
          <w:rFonts w:ascii="Gill Sans MT" w:hAnsi="Gill Sans MT"/>
          <w:sz w:val="24"/>
          <w:szCs w:val="24"/>
        </w:rPr>
      </w:pPr>
      <w:r w:rsidRPr="008D6166">
        <w:rPr>
          <w:rFonts w:ascii="Gill Sans MT" w:hAnsi="Gill Sans MT"/>
          <w:sz w:val="24"/>
          <w:szCs w:val="24"/>
        </w:rPr>
        <w:t>Lower debt service obligations freed resources for domestic investment, helping stabilize the cedi.</w:t>
      </w:r>
    </w:p>
    <w:p w14:paraId="18D8FAF9" w14:textId="77777777" w:rsidR="00B5109C" w:rsidRPr="008D6166" w:rsidRDefault="00B5109C" w:rsidP="00B5109C">
      <w:pPr>
        <w:spacing w:after="0"/>
        <w:rPr>
          <w:rFonts w:ascii="Gill Sans MT" w:hAnsi="Gill Sans MT"/>
          <w:sz w:val="24"/>
          <w:szCs w:val="24"/>
        </w:rPr>
      </w:pPr>
    </w:p>
    <w:p w14:paraId="16ECFC5B"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B. Fiscal Position</w:t>
      </w:r>
    </w:p>
    <w:p w14:paraId="1C99FF4F" w14:textId="77777777" w:rsidR="008D6166" w:rsidRPr="008D6166" w:rsidRDefault="008D6166" w:rsidP="008D6166">
      <w:pPr>
        <w:numPr>
          <w:ilvl w:val="0"/>
          <w:numId w:val="12"/>
        </w:numPr>
        <w:spacing w:after="0"/>
        <w:rPr>
          <w:rFonts w:ascii="Gill Sans MT" w:hAnsi="Gill Sans MT"/>
          <w:sz w:val="24"/>
          <w:szCs w:val="24"/>
        </w:rPr>
      </w:pPr>
      <w:r w:rsidRPr="008D6166">
        <w:rPr>
          <w:rFonts w:ascii="Gill Sans MT" w:hAnsi="Gill Sans MT"/>
          <w:sz w:val="24"/>
          <w:szCs w:val="24"/>
        </w:rPr>
        <w:t>Government efforts to reduce deficits and improve tax revenue generation positively influenced the exchange rate by minimizing excessive borrowing and inflationary pressures.</w:t>
      </w:r>
    </w:p>
    <w:p w14:paraId="5AE441C7"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C. Commodity Export Earnings</w:t>
      </w:r>
    </w:p>
    <w:p w14:paraId="01BC6576" w14:textId="77777777" w:rsidR="008D6166" w:rsidRPr="008D6166" w:rsidRDefault="008D6166" w:rsidP="008D6166">
      <w:pPr>
        <w:numPr>
          <w:ilvl w:val="0"/>
          <w:numId w:val="13"/>
        </w:numPr>
        <w:spacing w:after="0"/>
        <w:rPr>
          <w:rFonts w:ascii="Gill Sans MT" w:hAnsi="Gill Sans MT"/>
          <w:sz w:val="24"/>
          <w:szCs w:val="24"/>
        </w:rPr>
      </w:pPr>
      <w:r w:rsidRPr="008D6166">
        <w:rPr>
          <w:rFonts w:ascii="Gill Sans MT" w:hAnsi="Gill Sans MT"/>
          <w:sz w:val="24"/>
          <w:szCs w:val="24"/>
        </w:rPr>
        <w:t>Ghana’s economy is highly dependent on cocoa, gold, and oil.</w:t>
      </w:r>
    </w:p>
    <w:p w14:paraId="338CFE24" w14:textId="77777777" w:rsidR="008D6166" w:rsidRPr="008D6166" w:rsidRDefault="008D6166" w:rsidP="008D6166">
      <w:pPr>
        <w:numPr>
          <w:ilvl w:val="0"/>
          <w:numId w:val="13"/>
        </w:numPr>
        <w:spacing w:after="0"/>
        <w:rPr>
          <w:rFonts w:ascii="Gill Sans MT" w:hAnsi="Gill Sans MT"/>
          <w:sz w:val="24"/>
          <w:szCs w:val="24"/>
        </w:rPr>
      </w:pPr>
      <w:r w:rsidRPr="008D6166">
        <w:rPr>
          <w:rFonts w:ascii="Gill Sans MT" w:hAnsi="Gill Sans MT"/>
          <w:sz w:val="24"/>
          <w:szCs w:val="24"/>
        </w:rPr>
        <w:t xml:space="preserve">Rising prices and increased production (e.g., gold reserves grew from 22.3 to 31.2 </w:t>
      </w:r>
      <w:proofErr w:type="spellStart"/>
      <w:r w:rsidRPr="008D6166">
        <w:rPr>
          <w:rFonts w:ascii="Gill Sans MT" w:hAnsi="Gill Sans MT"/>
          <w:sz w:val="24"/>
          <w:szCs w:val="24"/>
        </w:rPr>
        <w:t>tonnes</w:t>
      </w:r>
      <w:proofErr w:type="spellEnd"/>
      <w:r w:rsidRPr="008D6166">
        <w:rPr>
          <w:rFonts w:ascii="Gill Sans MT" w:hAnsi="Gill Sans MT"/>
          <w:sz w:val="24"/>
          <w:szCs w:val="24"/>
        </w:rPr>
        <w:t>) enhanced forex inflows and supported the cedi.</w:t>
      </w:r>
    </w:p>
    <w:p w14:paraId="42FE6D3E"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D. Inflation Trends</w:t>
      </w:r>
    </w:p>
    <w:p w14:paraId="7EA92B3B" w14:textId="3F92537E" w:rsidR="008D6166" w:rsidRPr="008D6166" w:rsidRDefault="008D6166" w:rsidP="008D6166">
      <w:pPr>
        <w:numPr>
          <w:ilvl w:val="0"/>
          <w:numId w:val="14"/>
        </w:numPr>
        <w:spacing w:after="0"/>
        <w:rPr>
          <w:rFonts w:ascii="Gill Sans MT" w:hAnsi="Gill Sans MT"/>
          <w:sz w:val="24"/>
          <w:szCs w:val="24"/>
        </w:rPr>
      </w:pPr>
      <w:r w:rsidRPr="008D6166">
        <w:rPr>
          <w:rFonts w:ascii="Gill Sans MT" w:hAnsi="Gill Sans MT"/>
          <w:sz w:val="24"/>
          <w:szCs w:val="24"/>
        </w:rPr>
        <w:t>Although inflation remained high</w:t>
      </w:r>
      <w:r w:rsidR="00B5109C">
        <w:rPr>
          <w:rFonts w:ascii="Gill Sans MT" w:hAnsi="Gill Sans MT"/>
          <w:sz w:val="24"/>
          <w:szCs w:val="24"/>
        </w:rPr>
        <w:t>,</w:t>
      </w:r>
      <w:r w:rsidRPr="008D6166">
        <w:rPr>
          <w:rFonts w:ascii="Gill Sans MT" w:hAnsi="Gill Sans MT"/>
          <w:sz w:val="24"/>
          <w:szCs w:val="24"/>
        </w:rPr>
        <w:t xml:space="preserve"> signs of moderation and policy-driven disinflation have contributed to exchange rate stabilization.</w:t>
      </w:r>
    </w:p>
    <w:p w14:paraId="0C448B4B" w14:textId="77777777" w:rsidR="008E170F" w:rsidRDefault="008E170F" w:rsidP="008D6166">
      <w:pPr>
        <w:spacing w:after="0"/>
        <w:rPr>
          <w:rFonts w:ascii="Gill Sans MT" w:hAnsi="Gill Sans MT"/>
          <w:b/>
          <w:bCs/>
          <w:color w:val="0070C0"/>
          <w:sz w:val="24"/>
          <w:szCs w:val="24"/>
        </w:rPr>
      </w:pPr>
    </w:p>
    <w:p w14:paraId="3AEC688D" w14:textId="47F48FFC" w:rsidR="008D6166" w:rsidRPr="008D6166" w:rsidRDefault="008D6166" w:rsidP="008D6166">
      <w:pPr>
        <w:spacing w:after="0"/>
        <w:rPr>
          <w:rFonts w:ascii="Gill Sans MT" w:hAnsi="Gill Sans MT"/>
          <w:b/>
          <w:bCs/>
          <w:color w:val="0070C0"/>
          <w:sz w:val="24"/>
          <w:szCs w:val="24"/>
        </w:rPr>
      </w:pPr>
      <w:r w:rsidRPr="008D6166">
        <w:rPr>
          <w:rFonts w:ascii="Gill Sans MT" w:hAnsi="Gill Sans MT"/>
          <w:b/>
          <w:bCs/>
          <w:color w:val="0070C0"/>
          <w:sz w:val="24"/>
          <w:szCs w:val="24"/>
        </w:rPr>
        <w:lastRenderedPageBreak/>
        <w:t>2. Technical Indicators</w:t>
      </w:r>
    </w:p>
    <w:p w14:paraId="1A73B547" w14:textId="77777777" w:rsidR="008D6166" w:rsidRPr="008D6166" w:rsidRDefault="008D6166" w:rsidP="008D6166">
      <w:pPr>
        <w:spacing w:after="0"/>
        <w:rPr>
          <w:rFonts w:ascii="Gill Sans MT" w:hAnsi="Gill Sans MT"/>
          <w:sz w:val="24"/>
          <w:szCs w:val="24"/>
        </w:rPr>
      </w:pPr>
      <w:r w:rsidRPr="008D6166">
        <w:rPr>
          <w:rFonts w:ascii="Gill Sans MT" w:hAnsi="Gill Sans MT"/>
          <w:sz w:val="24"/>
          <w:szCs w:val="24"/>
        </w:rPr>
        <w:t>These are derived from historical price movements and are essential for short- to medium-term forecasting.</w:t>
      </w:r>
    </w:p>
    <w:p w14:paraId="63FE2647"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A. Simple Moving Averages (SMA)</w:t>
      </w:r>
    </w:p>
    <w:p w14:paraId="280F688E" w14:textId="77777777" w:rsidR="008D6166" w:rsidRPr="008D6166" w:rsidRDefault="008D6166" w:rsidP="008D6166">
      <w:pPr>
        <w:numPr>
          <w:ilvl w:val="0"/>
          <w:numId w:val="15"/>
        </w:numPr>
        <w:spacing w:after="0"/>
        <w:rPr>
          <w:rFonts w:ascii="Gill Sans MT" w:hAnsi="Gill Sans MT"/>
          <w:sz w:val="24"/>
          <w:szCs w:val="24"/>
        </w:rPr>
      </w:pPr>
      <w:r w:rsidRPr="008D6166">
        <w:rPr>
          <w:rFonts w:ascii="Gill Sans MT" w:hAnsi="Gill Sans MT"/>
          <w:b/>
          <w:bCs/>
          <w:sz w:val="24"/>
          <w:szCs w:val="24"/>
        </w:rPr>
        <w:t>50-Day SMA:</w:t>
      </w:r>
      <w:r w:rsidRPr="008D6166">
        <w:rPr>
          <w:rFonts w:ascii="Gill Sans MT" w:hAnsi="Gill Sans MT"/>
          <w:sz w:val="24"/>
          <w:szCs w:val="24"/>
        </w:rPr>
        <w:t xml:space="preserve"> This short-term average was around 12.83 GHS/USD. A declining SMA indicated that the cedi was gaining value against the dollar in the near term.</w:t>
      </w:r>
    </w:p>
    <w:p w14:paraId="722AE59A" w14:textId="77777777" w:rsidR="008D6166" w:rsidRPr="008D6166" w:rsidRDefault="008D6166" w:rsidP="008D6166">
      <w:pPr>
        <w:numPr>
          <w:ilvl w:val="0"/>
          <w:numId w:val="15"/>
        </w:numPr>
        <w:spacing w:after="0"/>
        <w:rPr>
          <w:rFonts w:ascii="Gill Sans MT" w:hAnsi="Gill Sans MT"/>
          <w:sz w:val="24"/>
          <w:szCs w:val="24"/>
        </w:rPr>
      </w:pPr>
      <w:r w:rsidRPr="008D6166">
        <w:rPr>
          <w:rFonts w:ascii="Gill Sans MT" w:hAnsi="Gill Sans MT"/>
          <w:b/>
          <w:bCs/>
          <w:sz w:val="24"/>
          <w:szCs w:val="24"/>
        </w:rPr>
        <w:t>200-Day SMA:</w:t>
      </w:r>
      <w:r w:rsidRPr="008D6166">
        <w:rPr>
          <w:rFonts w:ascii="Gill Sans MT" w:hAnsi="Gill Sans MT"/>
          <w:sz w:val="24"/>
          <w:szCs w:val="24"/>
        </w:rPr>
        <w:t xml:space="preserve"> The long-term average at 14.53 GHS/USD showed the downward momentum in the cedi's depreciation had reversed.</w:t>
      </w:r>
    </w:p>
    <w:p w14:paraId="72B732DD" w14:textId="77777777" w:rsidR="008D6166" w:rsidRPr="008D6166" w:rsidRDefault="008D6166" w:rsidP="008D6166">
      <w:pPr>
        <w:spacing w:after="0"/>
        <w:rPr>
          <w:rFonts w:ascii="Gill Sans MT" w:hAnsi="Gill Sans MT"/>
          <w:sz w:val="24"/>
          <w:szCs w:val="24"/>
        </w:rPr>
      </w:pPr>
      <w:r w:rsidRPr="008D6166">
        <w:rPr>
          <w:rFonts w:ascii="Gill Sans MT" w:hAnsi="Gill Sans MT"/>
          <w:sz w:val="24"/>
          <w:szCs w:val="24"/>
        </w:rPr>
        <w:t>These averages help identify market sentiment and the direction of the trend (bullish or bearish).</w:t>
      </w:r>
    </w:p>
    <w:p w14:paraId="7927341B"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B. Relative Strength Index (RSI)</w:t>
      </w:r>
    </w:p>
    <w:p w14:paraId="7006D855" w14:textId="77777777" w:rsidR="008D6166" w:rsidRPr="008D6166" w:rsidRDefault="008D6166" w:rsidP="008D6166">
      <w:pPr>
        <w:numPr>
          <w:ilvl w:val="0"/>
          <w:numId w:val="16"/>
        </w:numPr>
        <w:spacing w:after="0"/>
        <w:rPr>
          <w:rFonts w:ascii="Gill Sans MT" w:hAnsi="Gill Sans MT"/>
          <w:sz w:val="24"/>
          <w:szCs w:val="24"/>
        </w:rPr>
      </w:pPr>
      <w:r w:rsidRPr="008D6166">
        <w:rPr>
          <w:rFonts w:ascii="Gill Sans MT" w:hAnsi="Gill Sans MT"/>
          <w:sz w:val="24"/>
          <w:szCs w:val="24"/>
        </w:rPr>
        <w:t xml:space="preserve">RSI stood at </w:t>
      </w:r>
      <w:r w:rsidRPr="008D6166">
        <w:rPr>
          <w:rFonts w:ascii="Gill Sans MT" w:hAnsi="Gill Sans MT"/>
          <w:b/>
          <w:bCs/>
          <w:sz w:val="24"/>
          <w:szCs w:val="24"/>
        </w:rPr>
        <w:t>90.13</w:t>
      </w:r>
      <w:r w:rsidRPr="008D6166">
        <w:rPr>
          <w:rFonts w:ascii="Gill Sans MT" w:hAnsi="Gill Sans MT"/>
          <w:sz w:val="24"/>
          <w:szCs w:val="24"/>
        </w:rPr>
        <w:t xml:space="preserve">, suggesting that the GHS was in </w:t>
      </w:r>
      <w:r w:rsidRPr="008D6166">
        <w:rPr>
          <w:rFonts w:ascii="Gill Sans MT" w:hAnsi="Gill Sans MT"/>
          <w:b/>
          <w:bCs/>
          <w:sz w:val="24"/>
          <w:szCs w:val="24"/>
        </w:rPr>
        <w:t>overbought territory</w:t>
      </w:r>
      <w:r w:rsidRPr="008D6166">
        <w:rPr>
          <w:rFonts w:ascii="Gill Sans MT" w:hAnsi="Gill Sans MT"/>
          <w:sz w:val="24"/>
          <w:szCs w:val="24"/>
        </w:rPr>
        <w:t>, i.e., it had appreciated too quickly and might face short-term correction.</w:t>
      </w:r>
    </w:p>
    <w:p w14:paraId="51A61DB4" w14:textId="77777777" w:rsidR="008D6166" w:rsidRPr="008D6166" w:rsidRDefault="008D6166" w:rsidP="008D6166">
      <w:pPr>
        <w:numPr>
          <w:ilvl w:val="0"/>
          <w:numId w:val="16"/>
        </w:numPr>
        <w:spacing w:after="0"/>
        <w:rPr>
          <w:rFonts w:ascii="Gill Sans MT" w:hAnsi="Gill Sans MT"/>
          <w:sz w:val="24"/>
          <w:szCs w:val="24"/>
        </w:rPr>
      </w:pPr>
      <w:r w:rsidRPr="008D6166">
        <w:rPr>
          <w:rFonts w:ascii="Gill Sans MT" w:hAnsi="Gill Sans MT"/>
          <w:sz w:val="24"/>
          <w:szCs w:val="24"/>
        </w:rPr>
        <w:t>However, a high RSI also reflects strong demand and positive momentum.</w:t>
      </w:r>
    </w:p>
    <w:p w14:paraId="6CCE60B9"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C. Volatility (30-Day Standard Deviation)</w:t>
      </w:r>
    </w:p>
    <w:p w14:paraId="156D4CB3" w14:textId="456E617F" w:rsidR="00B5109C" w:rsidRPr="008D6166" w:rsidRDefault="008D6166" w:rsidP="008D6166">
      <w:pPr>
        <w:numPr>
          <w:ilvl w:val="0"/>
          <w:numId w:val="17"/>
        </w:numPr>
        <w:spacing w:after="0"/>
        <w:rPr>
          <w:rFonts w:ascii="Gill Sans MT" w:hAnsi="Gill Sans MT"/>
          <w:sz w:val="24"/>
          <w:szCs w:val="24"/>
        </w:rPr>
      </w:pPr>
      <w:r w:rsidRPr="008D6166">
        <w:rPr>
          <w:rFonts w:ascii="Gill Sans MT" w:hAnsi="Gill Sans MT"/>
          <w:sz w:val="24"/>
          <w:szCs w:val="24"/>
        </w:rPr>
        <w:t xml:space="preserve">Volatility dropped to </w:t>
      </w:r>
      <w:r w:rsidRPr="008D6166">
        <w:rPr>
          <w:rFonts w:ascii="Gill Sans MT" w:hAnsi="Gill Sans MT"/>
          <w:b/>
          <w:bCs/>
          <w:sz w:val="24"/>
          <w:szCs w:val="24"/>
        </w:rPr>
        <w:t>6.31%</w:t>
      </w:r>
      <w:r w:rsidRPr="008D6166">
        <w:rPr>
          <w:rFonts w:ascii="Gill Sans MT" w:hAnsi="Gill Sans MT"/>
          <w:sz w:val="24"/>
          <w:szCs w:val="24"/>
        </w:rPr>
        <w:t xml:space="preserve"> from 7.43% in 2024, indicating reduced uncertainty in the forex market and greater predictability of the cedi’s performance.</w:t>
      </w:r>
    </w:p>
    <w:p w14:paraId="746BE109" w14:textId="77777777" w:rsidR="008E170F" w:rsidRDefault="008E170F" w:rsidP="008D6166">
      <w:pPr>
        <w:spacing w:after="0"/>
        <w:rPr>
          <w:rFonts w:ascii="Gill Sans MT" w:hAnsi="Gill Sans MT"/>
          <w:b/>
          <w:bCs/>
          <w:color w:val="0070C0"/>
          <w:sz w:val="24"/>
          <w:szCs w:val="24"/>
        </w:rPr>
      </w:pPr>
    </w:p>
    <w:p w14:paraId="3CCCACA9" w14:textId="3CA0806E" w:rsidR="008D6166" w:rsidRPr="008D6166" w:rsidRDefault="008D6166" w:rsidP="008D6166">
      <w:pPr>
        <w:spacing w:after="0"/>
        <w:rPr>
          <w:rFonts w:ascii="Gill Sans MT" w:hAnsi="Gill Sans MT"/>
          <w:b/>
          <w:bCs/>
          <w:color w:val="0070C0"/>
          <w:sz w:val="24"/>
          <w:szCs w:val="24"/>
        </w:rPr>
      </w:pPr>
      <w:r w:rsidRPr="008D6166">
        <w:rPr>
          <w:rFonts w:ascii="Gill Sans MT" w:hAnsi="Gill Sans MT"/>
          <w:b/>
          <w:bCs/>
          <w:color w:val="0070C0"/>
          <w:sz w:val="24"/>
          <w:szCs w:val="24"/>
        </w:rPr>
        <w:t>3. Monetary Policy &amp; Forex Market Interventions</w:t>
      </w:r>
    </w:p>
    <w:p w14:paraId="1308A5F1"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A. Policy Interest Rate</w:t>
      </w:r>
    </w:p>
    <w:p w14:paraId="4DD2BA29" w14:textId="0F8B922F" w:rsidR="008D6166" w:rsidRDefault="008D6166" w:rsidP="008D6166">
      <w:pPr>
        <w:numPr>
          <w:ilvl w:val="0"/>
          <w:numId w:val="18"/>
        </w:numPr>
        <w:spacing w:after="0"/>
        <w:rPr>
          <w:rFonts w:ascii="Gill Sans MT" w:hAnsi="Gill Sans MT"/>
          <w:sz w:val="24"/>
          <w:szCs w:val="24"/>
        </w:rPr>
      </w:pPr>
      <w:r w:rsidRPr="008D6166">
        <w:rPr>
          <w:rFonts w:ascii="Gill Sans MT" w:hAnsi="Gill Sans MT"/>
          <w:sz w:val="24"/>
          <w:szCs w:val="24"/>
        </w:rPr>
        <w:t xml:space="preserve">The Bank of Ghana maintained a tight monetary policy stance with a </w:t>
      </w:r>
      <w:r w:rsidRPr="008D6166">
        <w:rPr>
          <w:rFonts w:ascii="Gill Sans MT" w:hAnsi="Gill Sans MT"/>
          <w:b/>
          <w:bCs/>
          <w:sz w:val="24"/>
          <w:szCs w:val="24"/>
        </w:rPr>
        <w:t>2</w:t>
      </w:r>
      <w:r w:rsidR="00B5109C">
        <w:rPr>
          <w:rFonts w:ascii="Gill Sans MT" w:hAnsi="Gill Sans MT"/>
          <w:b/>
          <w:bCs/>
          <w:sz w:val="24"/>
          <w:szCs w:val="24"/>
        </w:rPr>
        <w:t>8</w:t>
      </w:r>
      <w:r w:rsidRPr="008D6166">
        <w:rPr>
          <w:rFonts w:ascii="Gill Sans MT" w:hAnsi="Gill Sans MT"/>
          <w:b/>
          <w:bCs/>
          <w:sz w:val="24"/>
          <w:szCs w:val="24"/>
        </w:rPr>
        <w:t>% policy rate</w:t>
      </w:r>
      <w:r w:rsidRPr="008D6166">
        <w:rPr>
          <w:rFonts w:ascii="Gill Sans MT" w:hAnsi="Gill Sans MT"/>
          <w:sz w:val="24"/>
          <w:szCs w:val="24"/>
        </w:rPr>
        <w:t>, which helped attract portfolio inflows and control inflation—factors that enhance cedi stability.</w:t>
      </w:r>
    </w:p>
    <w:p w14:paraId="103DBC76" w14:textId="77777777" w:rsidR="007C700E" w:rsidRPr="008D6166" w:rsidRDefault="007C700E" w:rsidP="007C700E">
      <w:pPr>
        <w:spacing w:after="0"/>
        <w:rPr>
          <w:rFonts w:ascii="Gill Sans MT" w:hAnsi="Gill Sans MT"/>
          <w:sz w:val="24"/>
          <w:szCs w:val="24"/>
        </w:rPr>
      </w:pPr>
    </w:p>
    <w:p w14:paraId="283C85CC"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B. Central Bank Interventions</w:t>
      </w:r>
    </w:p>
    <w:p w14:paraId="34E5A0DA" w14:textId="77777777" w:rsidR="008D6166" w:rsidRPr="008D6166" w:rsidRDefault="008D6166" w:rsidP="008D6166">
      <w:pPr>
        <w:numPr>
          <w:ilvl w:val="0"/>
          <w:numId w:val="19"/>
        </w:numPr>
        <w:spacing w:after="0"/>
        <w:rPr>
          <w:rFonts w:ascii="Gill Sans MT" w:hAnsi="Gill Sans MT"/>
          <w:sz w:val="24"/>
          <w:szCs w:val="24"/>
        </w:rPr>
      </w:pPr>
      <w:r w:rsidRPr="008D6166">
        <w:rPr>
          <w:rFonts w:ascii="Gill Sans MT" w:hAnsi="Gill Sans MT"/>
          <w:sz w:val="24"/>
          <w:szCs w:val="24"/>
        </w:rPr>
        <w:t xml:space="preserve">Over </w:t>
      </w:r>
      <w:r w:rsidRPr="008D6166">
        <w:rPr>
          <w:rFonts w:ascii="Gill Sans MT" w:hAnsi="Gill Sans MT"/>
          <w:b/>
          <w:bCs/>
          <w:sz w:val="24"/>
          <w:szCs w:val="24"/>
        </w:rPr>
        <w:t>$490 million</w:t>
      </w:r>
      <w:r w:rsidRPr="008D6166">
        <w:rPr>
          <w:rFonts w:ascii="Gill Sans MT" w:hAnsi="Gill Sans MT"/>
          <w:sz w:val="24"/>
          <w:szCs w:val="24"/>
        </w:rPr>
        <w:t xml:space="preserve"> was injected into the forex market to support the cedi, reducing speculative demand and improving market liquidity.</w:t>
      </w:r>
    </w:p>
    <w:p w14:paraId="68589872"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C. Exchange Rate Mechanism</w:t>
      </w:r>
    </w:p>
    <w:p w14:paraId="29DD31AB" w14:textId="77777777" w:rsidR="008D6166" w:rsidRPr="008D6166" w:rsidRDefault="008D6166" w:rsidP="008D6166">
      <w:pPr>
        <w:numPr>
          <w:ilvl w:val="0"/>
          <w:numId w:val="20"/>
        </w:numPr>
        <w:spacing w:after="0"/>
        <w:rPr>
          <w:rFonts w:ascii="Gill Sans MT" w:hAnsi="Gill Sans MT"/>
          <w:sz w:val="24"/>
          <w:szCs w:val="24"/>
        </w:rPr>
      </w:pPr>
      <w:r w:rsidRPr="008D6166">
        <w:rPr>
          <w:rFonts w:ascii="Gill Sans MT" w:hAnsi="Gill Sans MT"/>
          <w:sz w:val="24"/>
          <w:szCs w:val="24"/>
        </w:rPr>
        <w:t xml:space="preserve">The daily exchange rate is computed as a </w:t>
      </w:r>
      <w:r w:rsidRPr="008D6166">
        <w:rPr>
          <w:rFonts w:ascii="Gill Sans MT" w:hAnsi="Gill Sans MT"/>
          <w:b/>
          <w:bCs/>
          <w:sz w:val="24"/>
          <w:szCs w:val="24"/>
        </w:rPr>
        <w:t>weighted median</w:t>
      </w:r>
      <w:r w:rsidRPr="008D6166">
        <w:rPr>
          <w:rFonts w:ascii="Gill Sans MT" w:hAnsi="Gill Sans MT"/>
          <w:sz w:val="24"/>
          <w:szCs w:val="24"/>
        </w:rPr>
        <w:t xml:space="preserve"> of interbank forex market transactions—this methodology ensures that the official rate reflects real market dynamics.</w:t>
      </w:r>
    </w:p>
    <w:p w14:paraId="25C74850" w14:textId="4C1CCCEB" w:rsidR="008D6166" w:rsidRPr="008D6166" w:rsidRDefault="008D6166" w:rsidP="008D6166">
      <w:pPr>
        <w:spacing w:after="0"/>
        <w:rPr>
          <w:rFonts w:ascii="Gill Sans MT" w:hAnsi="Gill Sans MT"/>
          <w:sz w:val="24"/>
          <w:szCs w:val="24"/>
        </w:rPr>
      </w:pPr>
    </w:p>
    <w:p w14:paraId="692DDAB5" w14:textId="77777777" w:rsidR="008D6166" w:rsidRPr="008D6166" w:rsidRDefault="008D6166" w:rsidP="008D6166">
      <w:pPr>
        <w:spacing w:after="0"/>
        <w:rPr>
          <w:rFonts w:ascii="Gill Sans MT" w:hAnsi="Gill Sans MT"/>
          <w:b/>
          <w:bCs/>
          <w:color w:val="0070C0"/>
          <w:sz w:val="24"/>
          <w:szCs w:val="24"/>
        </w:rPr>
      </w:pPr>
      <w:r w:rsidRPr="008D6166">
        <w:rPr>
          <w:rFonts w:ascii="Gill Sans MT" w:hAnsi="Gill Sans MT"/>
          <w:b/>
          <w:bCs/>
          <w:color w:val="0070C0"/>
          <w:sz w:val="24"/>
          <w:szCs w:val="24"/>
        </w:rPr>
        <w:t>4. External and Structural Factors</w:t>
      </w:r>
    </w:p>
    <w:p w14:paraId="1F2C540E"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A. U.S. Federal Reserve Outlook</w:t>
      </w:r>
    </w:p>
    <w:p w14:paraId="02A1720F" w14:textId="77777777" w:rsidR="008D6166" w:rsidRPr="008D6166" w:rsidRDefault="008D6166" w:rsidP="008D6166">
      <w:pPr>
        <w:numPr>
          <w:ilvl w:val="0"/>
          <w:numId w:val="21"/>
        </w:numPr>
        <w:spacing w:after="0"/>
        <w:rPr>
          <w:rFonts w:ascii="Gill Sans MT" w:hAnsi="Gill Sans MT"/>
          <w:sz w:val="24"/>
          <w:szCs w:val="24"/>
        </w:rPr>
      </w:pPr>
      <w:r w:rsidRPr="008D6166">
        <w:rPr>
          <w:rFonts w:ascii="Gill Sans MT" w:hAnsi="Gill Sans MT"/>
          <w:sz w:val="24"/>
          <w:szCs w:val="24"/>
        </w:rPr>
        <w:t xml:space="preserve">Expectations of a </w:t>
      </w:r>
      <w:r w:rsidRPr="008D6166">
        <w:rPr>
          <w:rFonts w:ascii="Gill Sans MT" w:hAnsi="Gill Sans MT"/>
          <w:b/>
          <w:bCs/>
          <w:sz w:val="24"/>
          <w:szCs w:val="24"/>
        </w:rPr>
        <w:t>rate cut</w:t>
      </w:r>
      <w:r w:rsidRPr="008D6166">
        <w:rPr>
          <w:rFonts w:ascii="Gill Sans MT" w:hAnsi="Gill Sans MT"/>
          <w:sz w:val="24"/>
          <w:szCs w:val="24"/>
        </w:rPr>
        <w:t xml:space="preserve"> by the U.S. Federal Reserve in 2025 would weaken the dollar globally, making emerging market currencies like the cedi relatively stronger.</w:t>
      </w:r>
    </w:p>
    <w:p w14:paraId="06A15C2E"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B. Post-Election Political Stability</w:t>
      </w:r>
    </w:p>
    <w:p w14:paraId="775A0310" w14:textId="77777777" w:rsidR="008D6166" w:rsidRPr="008D6166" w:rsidRDefault="008D6166" w:rsidP="008D6166">
      <w:pPr>
        <w:numPr>
          <w:ilvl w:val="0"/>
          <w:numId w:val="22"/>
        </w:numPr>
        <w:spacing w:after="0"/>
        <w:rPr>
          <w:rFonts w:ascii="Gill Sans MT" w:hAnsi="Gill Sans MT"/>
          <w:sz w:val="24"/>
          <w:szCs w:val="24"/>
        </w:rPr>
      </w:pPr>
      <w:r w:rsidRPr="008D6166">
        <w:rPr>
          <w:rFonts w:ascii="Gill Sans MT" w:hAnsi="Gill Sans MT"/>
          <w:sz w:val="24"/>
          <w:szCs w:val="24"/>
        </w:rPr>
        <w:t>The peaceful transition following the December 2024 general elections in Ghana reinforced investor confidence and contributed to stable capital inflows.</w:t>
      </w:r>
    </w:p>
    <w:p w14:paraId="5334700B" w14:textId="77777777" w:rsidR="008D6166" w:rsidRPr="008D6166" w:rsidRDefault="008D6166" w:rsidP="008D6166">
      <w:pPr>
        <w:spacing w:after="0"/>
        <w:rPr>
          <w:rFonts w:ascii="Gill Sans MT" w:hAnsi="Gill Sans MT"/>
          <w:b/>
          <w:bCs/>
          <w:sz w:val="24"/>
          <w:szCs w:val="24"/>
        </w:rPr>
      </w:pPr>
      <w:r w:rsidRPr="008D6166">
        <w:rPr>
          <w:rFonts w:ascii="Gill Sans MT" w:hAnsi="Gill Sans MT"/>
          <w:b/>
          <w:bCs/>
          <w:sz w:val="24"/>
          <w:szCs w:val="24"/>
        </w:rPr>
        <w:t>C. Foreign Direct Investment and Remittances</w:t>
      </w:r>
    </w:p>
    <w:p w14:paraId="1DBB2EA4" w14:textId="77777777" w:rsidR="008D6166" w:rsidRPr="008D6166" w:rsidRDefault="008D6166" w:rsidP="008D6166">
      <w:pPr>
        <w:numPr>
          <w:ilvl w:val="0"/>
          <w:numId w:val="23"/>
        </w:numPr>
        <w:spacing w:after="0"/>
        <w:rPr>
          <w:rFonts w:ascii="Gill Sans MT" w:hAnsi="Gill Sans MT"/>
          <w:sz w:val="24"/>
          <w:szCs w:val="24"/>
        </w:rPr>
      </w:pPr>
      <w:r w:rsidRPr="008D6166">
        <w:rPr>
          <w:rFonts w:ascii="Gill Sans MT" w:hAnsi="Gill Sans MT"/>
          <w:sz w:val="24"/>
          <w:szCs w:val="24"/>
        </w:rPr>
        <w:t>Sustained inflows from Ghanaians abroad and increased foreign investment interest in agriculture, mining, and digital sectors improved the country’s external position.</w:t>
      </w:r>
    </w:p>
    <w:p w14:paraId="30F8F87C" w14:textId="06858A71" w:rsidR="008D6166" w:rsidRPr="008D6166" w:rsidRDefault="008D6166" w:rsidP="008D6166">
      <w:pPr>
        <w:spacing w:after="0"/>
        <w:rPr>
          <w:rFonts w:ascii="Gill Sans MT" w:hAnsi="Gill Sans MT"/>
          <w:sz w:val="24"/>
          <w:szCs w:val="24"/>
        </w:rPr>
      </w:pPr>
    </w:p>
    <w:p w14:paraId="7D8CCF6D" w14:textId="77777777" w:rsidR="008E170F" w:rsidRDefault="008E170F" w:rsidP="008D6166">
      <w:pPr>
        <w:spacing w:after="0"/>
        <w:rPr>
          <w:rFonts w:ascii="Gill Sans MT" w:hAnsi="Gill Sans MT"/>
          <w:b/>
          <w:bCs/>
          <w:color w:val="0070C0"/>
          <w:sz w:val="24"/>
          <w:szCs w:val="24"/>
        </w:rPr>
      </w:pPr>
    </w:p>
    <w:p w14:paraId="5A617BA5" w14:textId="69A517BE" w:rsidR="008D6166" w:rsidRPr="008D6166" w:rsidRDefault="008D6166" w:rsidP="008D6166">
      <w:pPr>
        <w:spacing w:after="0"/>
        <w:rPr>
          <w:rFonts w:ascii="Gill Sans MT" w:hAnsi="Gill Sans MT"/>
          <w:b/>
          <w:bCs/>
          <w:sz w:val="28"/>
          <w:szCs w:val="28"/>
          <w:u w:val="single"/>
        </w:rPr>
      </w:pPr>
      <w:r w:rsidRPr="008D6166">
        <w:rPr>
          <w:rFonts w:ascii="Gill Sans MT" w:hAnsi="Gill Sans MT"/>
          <w:b/>
          <w:bCs/>
          <w:color w:val="0070C0"/>
          <w:sz w:val="24"/>
          <w:szCs w:val="24"/>
        </w:rPr>
        <w:t xml:space="preserve"> </w:t>
      </w:r>
      <w:r w:rsidRPr="008D6166">
        <w:rPr>
          <w:rFonts w:ascii="Gill Sans MT" w:hAnsi="Gill Sans MT"/>
          <w:b/>
          <w:bCs/>
          <w:color w:val="0070C0"/>
          <w:sz w:val="28"/>
          <w:szCs w:val="28"/>
          <w:u w:val="single"/>
        </w:rPr>
        <w:t>Conclusion: Why These Indicators Matter</w:t>
      </w:r>
    </w:p>
    <w:p w14:paraId="68D15789" w14:textId="02143D20" w:rsidR="008D6166" w:rsidRPr="008D6166" w:rsidRDefault="00546878" w:rsidP="008D6166">
      <w:pPr>
        <w:spacing w:after="0"/>
        <w:rPr>
          <w:rFonts w:ascii="Gill Sans MT" w:hAnsi="Gill Sans MT"/>
          <w:sz w:val="24"/>
          <w:szCs w:val="24"/>
        </w:rPr>
      </w:pPr>
      <w:r>
        <w:rPr>
          <w:rFonts w:ascii="Gill Sans MT" w:hAnsi="Gill Sans MT"/>
          <w:sz w:val="24"/>
          <w:szCs w:val="24"/>
        </w:rPr>
        <w:t xml:space="preserve">The </w:t>
      </w:r>
      <w:r w:rsidR="008D6166" w:rsidRPr="008D6166">
        <w:rPr>
          <w:rFonts w:ascii="Gill Sans MT" w:hAnsi="Gill Sans MT"/>
          <w:sz w:val="24"/>
          <w:szCs w:val="24"/>
        </w:rPr>
        <w:t xml:space="preserve">GITFiC relies on a </w:t>
      </w:r>
      <w:r w:rsidR="008D6166" w:rsidRPr="008D6166">
        <w:rPr>
          <w:rFonts w:ascii="Gill Sans MT" w:hAnsi="Gill Sans MT"/>
          <w:b/>
          <w:bCs/>
          <w:sz w:val="24"/>
          <w:szCs w:val="24"/>
        </w:rPr>
        <w:t>multi-indicator approach</w:t>
      </w:r>
      <w:r w:rsidR="008D6166" w:rsidRPr="008D6166">
        <w:rPr>
          <w:rFonts w:ascii="Gill Sans MT" w:hAnsi="Gill Sans MT"/>
          <w:sz w:val="24"/>
          <w:szCs w:val="24"/>
        </w:rPr>
        <w:t xml:space="preserve"> because exchange rate movements are influenced by both </w:t>
      </w:r>
      <w:r w:rsidR="008D6166" w:rsidRPr="008D6166">
        <w:rPr>
          <w:rFonts w:ascii="Gill Sans MT" w:hAnsi="Gill Sans MT"/>
          <w:b/>
          <w:bCs/>
          <w:sz w:val="24"/>
          <w:szCs w:val="24"/>
        </w:rPr>
        <w:t>macro-level fundamentals</w:t>
      </w:r>
      <w:r w:rsidR="008D6166" w:rsidRPr="008D6166">
        <w:rPr>
          <w:rFonts w:ascii="Gill Sans MT" w:hAnsi="Gill Sans MT"/>
          <w:sz w:val="24"/>
          <w:szCs w:val="24"/>
        </w:rPr>
        <w:t xml:space="preserve"> and </w:t>
      </w:r>
      <w:r w:rsidR="008D6166" w:rsidRPr="008D6166">
        <w:rPr>
          <w:rFonts w:ascii="Gill Sans MT" w:hAnsi="Gill Sans MT"/>
          <w:b/>
          <w:bCs/>
          <w:sz w:val="24"/>
          <w:szCs w:val="24"/>
        </w:rPr>
        <w:t>market-level sentiment</w:t>
      </w:r>
      <w:r w:rsidR="008D6166" w:rsidRPr="008D6166">
        <w:rPr>
          <w:rFonts w:ascii="Gill Sans MT" w:hAnsi="Gill Sans MT"/>
          <w:sz w:val="24"/>
          <w:szCs w:val="24"/>
        </w:rPr>
        <w:t>. This combination enables us to deliver a more accurate, resilient, and dynamic forecast.</w:t>
      </w:r>
    </w:p>
    <w:p w14:paraId="30ADDA75" w14:textId="77777777" w:rsidR="008D6166" w:rsidRPr="008D6166" w:rsidRDefault="008D6166" w:rsidP="008D6166">
      <w:pPr>
        <w:spacing w:after="0"/>
        <w:rPr>
          <w:rFonts w:ascii="Gill Sans MT" w:hAnsi="Gill Sans MT"/>
          <w:sz w:val="24"/>
          <w:szCs w:val="24"/>
        </w:rPr>
      </w:pPr>
    </w:p>
    <w:sectPr w:rsidR="008D6166" w:rsidRPr="008D6166" w:rsidSect="008E170F">
      <w:pgSz w:w="12240" w:h="15840"/>
      <w:pgMar w:top="72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FDE"/>
    <w:multiLevelType w:val="multilevel"/>
    <w:tmpl w:val="F46A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61851"/>
    <w:multiLevelType w:val="multilevel"/>
    <w:tmpl w:val="23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E08D9"/>
    <w:multiLevelType w:val="multilevel"/>
    <w:tmpl w:val="590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D68C1"/>
    <w:multiLevelType w:val="multilevel"/>
    <w:tmpl w:val="26FE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E4744"/>
    <w:multiLevelType w:val="multilevel"/>
    <w:tmpl w:val="74F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DF5"/>
    <w:multiLevelType w:val="multilevel"/>
    <w:tmpl w:val="9344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4094A"/>
    <w:multiLevelType w:val="hybridMultilevel"/>
    <w:tmpl w:val="130890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42570"/>
    <w:multiLevelType w:val="multilevel"/>
    <w:tmpl w:val="EE8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30EE9"/>
    <w:multiLevelType w:val="multilevel"/>
    <w:tmpl w:val="607A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D0BFB"/>
    <w:multiLevelType w:val="multilevel"/>
    <w:tmpl w:val="8F8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15D23"/>
    <w:multiLevelType w:val="multilevel"/>
    <w:tmpl w:val="AA8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B1C3F"/>
    <w:multiLevelType w:val="multilevel"/>
    <w:tmpl w:val="923A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17996"/>
    <w:multiLevelType w:val="multilevel"/>
    <w:tmpl w:val="9A6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D4B39"/>
    <w:multiLevelType w:val="multilevel"/>
    <w:tmpl w:val="056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A080D"/>
    <w:multiLevelType w:val="multilevel"/>
    <w:tmpl w:val="FAC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07E39"/>
    <w:multiLevelType w:val="multilevel"/>
    <w:tmpl w:val="6C3E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30CD1"/>
    <w:multiLevelType w:val="multilevel"/>
    <w:tmpl w:val="D782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D5FAE"/>
    <w:multiLevelType w:val="multilevel"/>
    <w:tmpl w:val="CFC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6226F"/>
    <w:multiLevelType w:val="multilevel"/>
    <w:tmpl w:val="6B58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665C8"/>
    <w:multiLevelType w:val="multilevel"/>
    <w:tmpl w:val="F82C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516AD"/>
    <w:multiLevelType w:val="multilevel"/>
    <w:tmpl w:val="234A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978F5"/>
    <w:multiLevelType w:val="multilevel"/>
    <w:tmpl w:val="302C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07DD3"/>
    <w:multiLevelType w:val="multilevel"/>
    <w:tmpl w:val="C608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F6C78"/>
    <w:multiLevelType w:val="multilevel"/>
    <w:tmpl w:val="2B3AD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5"/>
  </w:num>
  <w:num w:numId="4">
    <w:abstractNumId w:val="14"/>
  </w:num>
  <w:num w:numId="5">
    <w:abstractNumId w:val="9"/>
  </w:num>
  <w:num w:numId="6">
    <w:abstractNumId w:val="3"/>
  </w:num>
  <w:num w:numId="7">
    <w:abstractNumId w:val="11"/>
  </w:num>
  <w:num w:numId="8">
    <w:abstractNumId w:val="16"/>
  </w:num>
  <w:num w:numId="9">
    <w:abstractNumId w:val="22"/>
  </w:num>
  <w:num w:numId="10">
    <w:abstractNumId w:val="19"/>
  </w:num>
  <w:num w:numId="11">
    <w:abstractNumId w:val="15"/>
  </w:num>
  <w:num w:numId="12">
    <w:abstractNumId w:val="2"/>
  </w:num>
  <w:num w:numId="13">
    <w:abstractNumId w:val="8"/>
  </w:num>
  <w:num w:numId="14">
    <w:abstractNumId w:val="20"/>
  </w:num>
  <w:num w:numId="15">
    <w:abstractNumId w:val="7"/>
  </w:num>
  <w:num w:numId="16">
    <w:abstractNumId w:val="21"/>
  </w:num>
  <w:num w:numId="17">
    <w:abstractNumId w:val="13"/>
  </w:num>
  <w:num w:numId="18">
    <w:abstractNumId w:val="4"/>
  </w:num>
  <w:num w:numId="19">
    <w:abstractNumId w:val="18"/>
  </w:num>
  <w:num w:numId="20">
    <w:abstractNumId w:val="1"/>
  </w:num>
  <w:num w:numId="21">
    <w:abstractNumId w:val="10"/>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64"/>
    <w:rsid w:val="00064FC4"/>
    <w:rsid w:val="000C0415"/>
    <w:rsid w:val="000F28DA"/>
    <w:rsid w:val="002F4BAC"/>
    <w:rsid w:val="003E6A40"/>
    <w:rsid w:val="004E1C8C"/>
    <w:rsid w:val="00546878"/>
    <w:rsid w:val="00645A0B"/>
    <w:rsid w:val="007C700E"/>
    <w:rsid w:val="0086264E"/>
    <w:rsid w:val="008D6166"/>
    <w:rsid w:val="008E170F"/>
    <w:rsid w:val="0097226B"/>
    <w:rsid w:val="00A73115"/>
    <w:rsid w:val="00A84205"/>
    <w:rsid w:val="00AC02CE"/>
    <w:rsid w:val="00B24364"/>
    <w:rsid w:val="00B263A8"/>
    <w:rsid w:val="00B3110B"/>
    <w:rsid w:val="00B5109C"/>
    <w:rsid w:val="00B760F4"/>
    <w:rsid w:val="00C14718"/>
    <w:rsid w:val="00C85793"/>
    <w:rsid w:val="00FB2CD9"/>
    <w:rsid w:val="00FC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F3275"/>
  <w15:chartTrackingRefBased/>
  <w15:docId w15:val="{614965DC-A02E-4807-9F1C-23F35BE5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3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B263A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B243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3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3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3A8"/>
    <w:rPr>
      <w:rFonts w:asciiTheme="majorHAnsi" w:eastAsiaTheme="majorEastAsia" w:hAnsiTheme="majorHAnsi" w:cstheme="majorBidi"/>
      <w:color w:val="000000" w:themeColor="text1"/>
      <w:sz w:val="26"/>
      <w:szCs w:val="26"/>
    </w:rPr>
  </w:style>
  <w:style w:type="character" w:customStyle="1" w:styleId="Heading1Char">
    <w:name w:val="Heading 1 Char"/>
    <w:basedOn w:val="DefaultParagraphFont"/>
    <w:link w:val="Heading1"/>
    <w:uiPriority w:val="9"/>
    <w:rsid w:val="00B2436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243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3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3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364"/>
    <w:rPr>
      <w:rFonts w:eastAsiaTheme="majorEastAsia" w:cstheme="majorBidi"/>
      <w:color w:val="272727" w:themeColor="text1" w:themeTint="D8"/>
    </w:rPr>
  </w:style>
  <w:style w:type="paragraph" w:styleId="Title">
    <w:name w:val="Title"/>
    <w:basedOn w:val="Normal"/>
    <w:next w:val="Normal"/>
    <w:link w:val="TitleChar"/>
    <w:uiPriority w:val="10"/>
    <w:qFormat/>
    <w:rsid w:val="00B24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364"/>
    <w:pPr>
      <w:spacing w:before="160"/>
      <w:jc w:val="center"/>
    </w:pPr>
    <w:rPr>
      <w:i/>
      <w:iCs/>
      <w:color w:val="404040" w:themeColor="text1" w:themeTint="BF"/>
    </w:rPr>
  </w:style>
  <w:style w:type="character" w:customStyle="1" w:styleId="QuoteChar">
    <w:name w:val="Quote Char"/>
    <w:basedOn w:val="DefaultParagraphFont"/>
    <w:link w:val="Quote"/>
    <w:uiPriority w:val="29"/>
    <w:rsid w:val="00B24364"/>
    <w:rPr>
      <w:i/>
      <w:iCs/>
      <w:color w:val="404040" w:themeColor="text1" w:themeTint="BF"/>
    </w:rPr>
  </w:style>
  <w:style w:type="paragraph" w:styleId="ListParagraph">
    <w:name w:val="List Paragraph"/>
    <w:basedOn w:val="Normal"/>
    <w:uiPriority w:val="34"/>
    <w:qFormat/>
    <w:rsid w:val="00B24364"/>
    <w:pPr>
      <w:ind w:left="720"/>
      <w:contextualSpacing/>
    </w:pPr>
  </w:style>
  <w:style w:type="character" w:styleId="IntenseEmphasis">
    <w:name w:val="Intense Emphasis"/>
    <w:basedOn w:val="DefaultParagraphFont"/>
    <w:uiPriority w:val="21"/>
    <w:qFormat/>
    <w:rsid w:val="00B24364"/>
    <w:rPr>
      <w:i/>
      <w:iCs/>
      <w:color w:val="2F5496" w:themeColor="accent1" w:themeShade="BF"/>
    </w:rPr>
  </w:style>
  <w:style w:type="paragraph" w:styleId="IntenseQuote">
    <w:name w:val="Intense Quote"/>
    <w:basedOn w:val="Normal"/>
    <w:next w:val="Normal"/>
    <w:link w:val="IntenseQuoteChar"/>
    <w:uiPriority w:val="30"/>
    <w:qFormat/>
    <w:rsid w:val="00B24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364"/>
    <w:rPr>
      <w:i/>
      <w:iCs/>
      <w:color w:val="2F5496" w:themeColor="accent1" w:themeShade="BF"/>
    </w:rPr>
  </w:style>
  <w:style w:type="character" w:styleId="IntenseReference">
    <w:name w:val="Intense Reference"/>
    <w:basedOn w:val="DefaultParagraphFont"/>
    <w:uiPriority w:val="32"/>
    <w:qFormat/>
    <w:rsid w:val="00B24364"/>
    <w:rPr>
      <w:b/>
      <w:bCs/>
      <w:smallCaps/>
      <w:color w:val="2F5496" w:themeColor="accent1" w:themeShade="BF"/>
      <w:spacing w:val="5"/>
    </w:rPr>
  </w:style>
  <w:style w:type="table" w:styleId="TableGridLight">
    <w:name w:val="Grid Table Light"/>
    <w:basedOn w:val="TableNormal"/>
    <w:uiPriority w:val="40"/>
    <w:rsid w:val="008D61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8629">
      <w:bodyDiv w:val="1"/>
      <w:marLeft w:val="0"/>
      <w:marRight w:val="0"/>
      <w:marTop w:val="0"/>
      <w:marBottom w:val="0"/>
      <w:divBdr>
        <w:top w:val="none" w:sz="0" w:space="0" w:color="auto"/>
        <w:left w:val="none" w:sz="0" w:space="0" w:color="auto"/>
        <w:bottom w:val="none" w:sz="0" w:space="0" w:color="auto"/>
        <w:right w:val="none" w:sz="0" w:space="0" w:color="auto"/>
      </w:divBdr>
      <w:divsChild>
        <w:div w:id="1678655698">
          <w:marLeft w:val="0"/>
          <w:marRight w:val="0"/>
          <w:marTop w:val="0"/>
          <w:marBottom w:val="0"/>
          <w:divBdr>
            <w:top w:val="none" w:sz="0" w:space="0" w:color="auto"/>
            <w:left w:val="none" w:sz="0" w:space="0" w:color="auto"/>
            <w:bottom w:val="none" w:sz="0" w:space="0" w:color="auto"/>
            <w:right w:val="none" w:sz="0" w:space="0" w:color="auto"/>
          </w:divBdr>
          <w:divsChild>
            <w:div w:id="10371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044">
      <w:bodyDiv w:val="1"/>
      <w:marLeft w:val="0"/>
      <w:marRight w:val="0"/>
      <w:marTop w:val="0"/>
      <w:marBottom w:val="0"/>
      <w:divBdr>
        <w:top w:val="none" w:sz="0" w:space="0" w:color="auto"/>
        <w:left w:val="none" w:sz="0" w:space="0" w:color="auto"/>
        <w:bottom w:val="none" w:sz="0" w:space="0" w:color="auto"/>
        <w:right w:val="none" w:sz="0" w:space="0" w:color="auto"/>
      </w:divBdr>
    </w:div>
    <w:div w:id="20555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Owusu</dc:creator>
  <cp:keywords/>
  <dc:description/>
  <cp:lastModifiedBy>GITFIC</cp:lastModifiedBy>
  <cp:revision>2</cp:revision>
  <dcterms:created xsi:type="dcterms:W3CDTF">2025-05-27T08:58:00Z</dcterms:created>
  <dcterms:modified xsi:type="dcterms:W3CDTF">2025-05-27T08:58:00Z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0f47fafc-6405-4db5-a025-e459eb903fd2</vt:lpwstr>
  </property>
</Properties>
</file>